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D7793" w14:textId="77777777" w:rsidR="00211BFC" w:rsidRDefault="00211BFC" w:rsidP="00053B09">
      <w:pPr>
        <w:rPr>
          <w:rFonts w:asciiTheme="minorHAnsi" w:hAnsiTheme="minorHAnsi"/>
          <w:b/>
          <w:sz w:val="32"/>
          <w:szCs w:val="32"/>
        </w:rPr>
      </w:pPr>
    </w:p>
    <w:p w14:paraId="3C9F73E5" w14:textId="1A3D51EC" w:rsidR="00211BFC" w:rsidRDefault="00452D38" w:rsidP="00211BFC">
      <w:pPr>
        <w:jc w:val="center"/>
        <w:rPr>
          <w:rFonts w:asciiTheme="minorHAnsi" w:hAnsiTheme="minorHAnsi"/>
          <w:b/>
          <w:sz w:val="32"/>
          <w:szCs w:val="32"/>
        </w:rPr>
      </w:pPr>
      <w:r>
        <w:rPr>
          <w:rFonts w:asciiTheme="minorHAnsi" w:hAnsiTheme="minorHAnsi"/>
          <w:b/>
          <w:sz w:val="32"/>
          <w:szCs w:val="32"/>
        </w:rPr>
        <w:t>Kader Duurzaam beleggen</w:t>
      </w:r>
      <w:r w:rsidR="00E16BB1">
        <w:rPr>
          <w:rFonts w:asciiTheme="minorHAnsi" w:hAnsiTheme="minorHAnsi"/>
          <w:b/>
          <w:sz w:val="32"/>
          <w:szCs w:val="32"/>
        </w:rPr>
        <w:t xml:space="preserve"> Universiteit Gent</w:t>
      </w:r>
    </w:p>
    <w:p w14:paraId="0A3FDD03" w14:textId="6A3CE9C1" w:rsidR="00211BFC" w:rsidRPr="00211BFC" w:rsidRDefault="00BE3BE8" w:rsidP="00211BFC">
      <w:pPr>
        <w:rPr>
          <w:rFonts w:asciiTheme="minorHAnsi" w:hAnsiTheme="minorHAnsi"/>
          <w:b/>
          <w:sz w:val="32"/>
          <w:szCs w:val="32"/>
        </w:rPr>
      </w:pPr>
      <w:r>
        <w:rPr>
          <w:rFonts w:asciiTheme="minorHAnsi" w:hAnsiTheme="minorHAnsi"/>
          <w:b/>
          <w:sz w:val="32"/>
          <w:szCs w:val="32"/>
        </w:rPr>
        <w:pict w14:anchorId="3DE06ED9">
          <v:rect id="_x0000_i1025" style="width:0;height:1.5pt" o:hralign="center" o:hrstd="t" o:hr="t" fillcolor="gray" stroked="f"/>
        </w:pict>
      </w:r>
    </w:p>
    <w:sdt>
      <w:sdtPr>
        <w:rPr>
          <w:rFonts w:ascii="Times New Roman" w:eastAsia="Times New Roman" w:hAnsi="Times New Roman" w:cs="Times New Roman"/>
          <w:color w:val="auto"/>
          <w:sz w:val="24"/>
          <w:szCs w:val="24"/>
          <w:lang w:val="nl-NL" w:eastAsia="nl-NL"/>
        </w:rPr>
        <w:id w:val="173079424"/>
        <w:docPartObj>
          <w:docPartGallery w:val="Table of Contents"/>
          <w:docPartUnique/>
        </w:docPartObj>
      </w:sdtPr>
      <w:sdtEndPr>
        <w:rPr>
          <w:b/>
          <w:bCs/>
        </w:rPr>
      </w:sdtEndPr>
      <w:sdtContent>
        <w:p w14:paraId="6F1818CF" w14:textId="4F36D224" w:rsidR="0015360D" w:rsidRDefault="0015360D">
          <w:pPr>
            <w:pStyle w:val="Kopvaninhoudsopgave"/>
          </w:pPr>
          <w:r>
            <w:rPr>
              <w:lang w:val="nl-NL"/>
            </w:rPr>
            <w:t>Inhoudsopgave</w:t>
          </w:r>
        </w:p>
        <w:p w14:paraId="0F1E3C5A" w14:textId="106A347D" w:rsidR="003E4CCB" w:rsidRDefault="009F26D6">
          <w:pPr>
            <w:pStyle w:val="Inhopg1"/>
            <w:rPr>
              <w:rFonts w:asciiTheme="minorHAnsi" w:eastAsiaTheme="minorEastAsia" w:hAnsiTheme="minorHAnsi" w:cstheme="minorBidi"/>
              <w:sz w:val="22"/>
              <w:szCs w:val="22"/>
              <w:lang w:val="nl-BE" w:eastAsia="nl-BE"/>
            </w:rPr>
          </w:pPr>
          <w:r>
            <w:fldChar w:fldCharType="begin"/>
          </w:r>
          <w:r>
            <w:instrText xml:space="preserve"> TOC \o "1-3" \h \z \u </w:instrText>
          </w:r>
          <w:r>
            <w:fldChar w:fldCharType="separate"/>
          </w:r>
          <w:hyperlink w:anchor="_Toc499119280" w:history="1">
            <w:r w:rsidR="003E4CCB" w:rsidRPr="004C44A9">
              <w:rPr>
                <w:rStyle w:val="Hyperlink"/>
              </w:rPr>
              <w:t>1. Benchmark portefeuille.</w:t>
            </w:r>
            <w:r w:rsidR="003E4CCB">
              <w:rPr>
                <w:webHidden/>
              </w:rPr>
              <w:tab/>
            </w:r>
            <w:r w:rsidR="003E4CCB">
              <w:rPr>
                <w:webHidden/>
              </w:rPr>
              <w:fldChar w:fldCharType="begin"/>
            </w:r>
            <w:r w:rsidR="003E4CCB">
              <w:rPr>
                <w:webHidden/>
              </w:rPr>
              <w:instrText xml:space="preserve"> PAGEREF _Toc499119280 \h </w:instrText>
            </w:r>
            <w:r w:rsidR="003E4CCB">
              <w:rPr>
                <w:webHidden/>
              </w:rPr>
            </w:r>
            <w:r w:rsidR="003E4CCB">
              <w:rPr>
                <w:webHidden/>
              </w:rPr>
              <w:fldChar w:fldCharType="separate"/>
            </w:r>
            <w:r w:rsidR="0056665C">
              <w:rPr>
                <w:webHidden/>
              </w:rPr>
              <w:t>2</w:t>
            </w:r>
            <w:r w:rsidR="003E4CCB">
              <w:rPr>
                <w:webHidden/>
              </w:rPr>
              <w:fldChar w:fldCharType="end"/>
            </w:r>
          </w:hyperlink>
        </w:p>
        <w:p w14:paraId="15FDFDF9" w14:textId="22426489" w:rsidR="003E4CCB" w:rsidRDefault="00BE3BE8">
          <w:pPr>
            <w:pStyle w:val="Inhopg1"/>
            <w:rPr>
              <w:rFonts w:asciiTheme="minorHAnsi" w:eastAsiaTheme="minorEastAsia" w:hAnsiTheme="minorHAnsi" w:cstheme="minorBidi"/>
              <w:sz w:val="22"/>
              <w:szCs w:val="22"/>
              <w:lang w:val="nl-BE" w:eastAsia="nl-BE"/>
            </w:rPr>
          </w:pPr>
          <w:hyperlink w:anchor="_Toc499119281" w:history="1">
            <w:r w:rsidR="003E4CCB" w:rsidRPr="004C44A9">
              <w:rPr>
                <w:rStyle w:val="Hyperlink"/>
              </w:rPr>
              <w:t>2. Duurzaamheid investeringen buiten de portefeuille.</w:t>
            </w:r>
            <w:r w:rsidR="003E4CCB">
              <w:rPr>
                <w:webHidden/>
              </w:rPr>
              <w:tab/>
            </w:r>
            <w:r w:rsidR="003E4CCB">
              <w:rPr>
                <w:webHidden/>
              </w:rPr>
              <w:fldChar w:fldCharType="begin"/>
            </w:r>
            <w:r w:rsidR="003E4CCB">
              <w:rPr>
                <w:webHidden/>
              </w:rPr>
              <w:instrText xml:space="preserve"> PAGEREF _Toc499119281 \h </w:instrText>
            </w:r>
            <w:r w:rsidR="003E4CCB">
              <w:rPr>
                <w:webHidden/>
              </w:rPr>
            </w:r>
            <w:r w:rsidR="003E4CCB">
              <w:rPr>
                <w:webHidden/>
              </w:rPr>
              <w:fldChar w:fldCharType="separate"/>
            </w:r>
            <w:r w:rsidR="0056665C">
              <w:rPr>
                <w:webHidden/>
              </w:rPr>
              <w:t>2</w:t>
            </w:r>
            <w:r w:rsidR="003E4CCB">
              <w:rPr>
                <w:webHidden/>
              </w:rPr>
              <w:fldChar w:fldCharType="end"/>
            </w:r>
          </w:hyperlink>
        </w:p>
        <w:p w14:paraId="4C04F28D" w14:textId="6C57C49D" w:rsidR="003E4CCB" w:rsidRDefault="00BE3BE8">
          <w:pPr>
            <w:pStyle w:val="Inhopg1"/>
            <w:rPr>
              <w:rFonts w:asciiTheme="minorHAnsi" w:eastAsiaTheme="minorEastAsia" w:hAnsiTheme="minorHAnsi" w:cstheme="minorBidi"/>
              <w:sz w:val="22"/>
              <w:szCs w:val="22"/>
              <w:lang w:val="nl-BE" w:eastAsia="nl-BE"/>
            </w:rPr>
          </w:pPr>
          <w:hyperlink w:anchor="_Toc499119282" w:history="1">
            <w:r w:rsidR="003E4CCB" w:rsidRPr="004C44A9">
              <w:rPr>
                <w:rStyle w:val="Hyperlink"/>
              </w:rPr>
              <w:t>3. Kader ‘duurzame portefeuille’.</w:t>
            </w:r>
            <w:r w:rsidR="003E4CCB">
              <w:rPr>
                <w:webHidden/>
              </w:rPr>
              <w:tab/>
            </w:r>
            <w:r w:rsidR="003E4CCB">
              <w:rPr>
                <w:webHidden/>
              </w:rPr>
              <w:fldChar w:fldCharType="begin"/>
            </w:r>
            <w:r w:rsidR="003E4CCB">
              <w:rPr>
                <w:webHidden/>
              </w:rPr>
              <w:instrText xml:space="preserve"> PAGEREF _Toc499119282 \h </w:instrText>
            </w:r>
            <w:r w:rsidR="003E4CCB">
              <w:rPr>
                <w:webHidden/>
              </w:rPr>
            </w:r>
            <w:r w:rsidR="003E4CCB">
              <w:rPr>
                <w:webHidden/>
              </w:rPr>
              <w:fldChar w:fldCharType="separate"/>
            </w:r>
            <w:r w:rsidR="0056665C">
              <w:rPr>
                <w:webHidden/>
              </w:rPr>
              <w:t>3</w:t>
            </w:r>
            <w:r w:rsidR="003E4CCB">
              <w:rPr>
                <w:webHidden/>
              </w:rPr>
              <w:fldChar w:fldCharType="end"/>
            </w:r>
          </w:hyperlink>
        </w:p>
        <w:p w14:paraId="74D9F4CB" w14:textId="7B864A64" w:rsidR="003E4CCB" w:rsidRDefault="00BE3BE8">
          <w:pPr>
            <w:pStyle w:val="Inhopg2"/>
            <w:rPr>
              <w:rFonts w:eastAsiaTheme="minorEastAsia" w:cstheme="minorBidi"/>
              <w:sz w:val="22"/>
              <w:szCs w:val="22"/>
              <w:lang w:val="nl-BE" w:eastAsia="nl-BE"/>
            </w:rPr>
          </w:pPr>
          <w:hyperlink w:anchor="_Toc499119283" w:history="1">
            <w:r w:rsidR="003E4CCB" w:rsidRPr="004C44A9">
              <w:rPr>
                <w:rStyle w:val="Hyperlink"/>
              </w:rPr>
              <w:t>Algemene uitsluitingen</w:t>
            </w:r>
            <w:r w:rsidR="003E4CCB">
              <w:rPr>
                <w:webHidden/>
              </w:rPr>
              <w:tab/>
            </w:r>
            <w:r w:rsidR="003E4CCB">
              <w:rPr>
                <w:webHidden/>
              </w:rPr>
              <w:fldChar w:fldCharType="begin"/>
            </w:r>
            <w:r w:rsidR="003E4CCB">
              <w:rPr>
                <w:webHidden/>
              </w:rPr>
              <w:instrText xml:space="preserve"> PAGEREF _Toc499119283 \h </w:instrText>
            </w:r>
            <w:r w:rsidR="003E4CCB">
              <w:rPr>
                <w:webHidden/>
              </w:rPr>
            </w:r>
            <w:r w:rsidR="003E4CCB">
              <w:rPr>
                <w:webHidden/>
              </w:rPr>
              <w:fldChar w:fldCharType="separate"/>
            </w:r>
            <w:r w:rsidR="0056665C">
              <w:rPr>
                <w:webHidden/>
              </w:rPr>
              <w:t>3</w:t>
            </w:r>
            <w:r w:rsidR="003E4CCB">
              <w:rPr>
                <w:webHidden/>
              </w:rPr>
              <w:fldChar w:fldCharType="end"/>
            </w:r>
          </w:hyperlink>
        </w:p>
        <w:p w14:paraId="68910D53" w14:textId="7086F304" w:rsidR="003E4CCB" w:rsidRDefault="00BE3BE8">
          <w:pPr>
            <w:pStyle w:val="Inhopg2"/>
            <w:rPr>
              <w:rFonts w:eastAsiaTheme="minorEastAsia" w:cstheme="minorBidi"/>
              <w:sz w:val="22"/>
              <w:szCs w:val="22"/>
              <w:lang w:val="nl-BE" w:eastAsia="nl-BE"/>
            </w:rPr>
          </w:pPr>
          <w:hyperlink w:anchor="_Toc499119284" w:history="1">
            <w:r w:rsidR="003E4CCB" w:rsidRPr="004C44A9">
              <w:rPr>
                <w:rStyle w:val="Hyperlink"/>
              </w:rPr>
              <w:t>Uitsluiting sectoren omwille van Fossil Free – karakter (actieve divestment):</w:t>
            </w:r>
            <w:r w:rsidR="003E4CCB">
              <w:rPr>
                <w:webHidden/>
              </w:rPr>
              <w:tab/>
            </w:r>
            <w:r w:rsidR="003E4CCB">
              <w:rPr>
                <w:webHidden/>
              </w:rPr>
              <w:fldChar w:fldCharType="begin"/>
            </w:r>
            <w:r w:rsidR="003E4CCB">
              <w:rPr>
                <w:webHidden/>
              </w:rPr>
              <w:instrText xml:space="preserve"> PAGEREF _Toc499119284 \h </w:instrText>
            </w:r>
            <w:r w:rsidR="003E4CCB">
              <w:rPr>
                <w:webHidden/>
              </w:rPr>
            </w:r>
            <w:r w:rsidR="003E4CCB">
              <w:rPr>
                <w:webHidden/>
              </w:rPr>
              <w:fldChar w:fldCharType="separate"/>
            </w:r>
            <w:r w:rsidR="0056665C">
              <w:rPr>
                <w:webHidden/>
              </w:rPr>
              <w:t>4</w:t>
            </w:r>
            <w:r w:rsidR="003E4CCB">
              <w:rPr>
                <w:webHidden/>
              </w:rPr>
              <w:fldChar w:fldCharType="end"/>
            </w:r>
          </w:hyperlink>
        </w:p>
        <w:p w14:paraId="1FB9137A" w14:textId="3A2B95BF" w:rsidR="003E4CCB" w:rsidRDefault="00BE3BE8">
          <w:pPr>
            <w:pStyle w:val="Inhopg2"/>
            <w:rPr>
              <w:rFonts w:eastAsiaTheme="minorEastAsia" w:cstheme="minorBidi"/>
              <w:sz w:val="22"/>
              <w:szCs w:val="22"/>
              <w:lang w:val="nl-BE" w:eastAsia="nl-BE"/>
            </w:rPr>
          </w:pPr>
          <w:hyperlink w:anchor="_Toc499119285" w:history="1">
            <w:r w:rsidR="003E4CCB" w:rsidRPr="004C44A9">
              <w:rPr>
                <w:rStyle w:val="Hyperlink"/>
              </w:rPr>
              <w:t>SRI – CO</w:t>
            </w:r>
            <w:r w:rsidR="003E4CCB" w:rsidRPr="004C44A9">
              <w:rPr>
                <w:rStyle w:val="Hyperlink"/>
                <w:vertAlign w:val="subscript"/>
              </w:rPr>
              <w:t>2</w:t>
            </w:r>
            <w:r w:rsidR="003E4CCB" w:rsidRPr="004C44A9">
              <w:rPr>
                <w:rStyle w:val="Hyperlink"/>
              </w:rPr>
              <w:t>-afdruk:</w:t>
            </w:r>
            <w:r w:rsidR="003E4CCB">
              <w:rPr>
                <w:webHidden/>
              </w:rPr>
              <w:tab/>
            </w:r>
            <w:r w:rsidR="003E4CCB">
              <w:rPr>
                <w:webHidden/>
              </w:rPr>
              <w:fldChar w:fldCharType="begin"/>
            </w:r>
            <w:r w:rsidR="003E4CCB">
              <w:rPr>
                <w:webHidden/>
              </w:rPr>
              <w:instrText xml:space="preserve"> PAGEREF _Toc499119285 \h </w:instrText>
            </w:r>
            <w:r w:rsidR="003E4CCB">
              <w:rPr>
                <w:webHidden/>
              </w:rPr>
            </w:r>
            <w:r w:rsidR="003E4CCB">
              <w:rPr>
                <w:webHidden/>
              </w:rPr>
              <w:fldChar w:fldCharType="separate"/>
            </w:r>
            <w:r w:rsidR="0056665C">
              <w:rPr>
                <w:webHidden/>
              </w:rPr>
              <w:t>4</w:t>
            </w:r>
            <w:r w:rsidR="003E4CCB">
              <w:rPr>
                <w:webHidden/>
              </w:rPr>
              <w:fldChar w:fldCharType="end"/>
            </w:r>
          </w:hyperlink>
        </w:p>
        <w:p w14:paraId="1A2CFF7F" w14:textId="21AF3EC6" w:rsidR="003E4CCB" w:rsidRDefault="00BE3BE8">
          <w:pPr>
            <w:pStyle w:val="Inhopg2"/>
            <w:rPr>
              <w:rFonts w:eastAsiaTheme="minorEastAsia" w:cstheme="minorBidi"/>
              <w:sz w:val="22"/>
              <w:szCs w:val="22"/>
              <w:lang w:val="nl-BE" w:eastAsia="nl-BE"/>
            </w:rPr>
          </w:pPr>
          <w:hyperlink w:anchor="_Toc499119286" w:history="1">
            <w:r w:rsidR="003E4CCB" w:rsidRPr="004C44A9">
              <w:rPr>
                <w:rStyle w:val="Hyperlink"/>
              </w:rPr>
              <w:t>Insluiting van ‘duurzame en verantwoorde’ thema’s: (10 % tot 20 % van het aandelen-gedeelte)</w:t>
            </w:r>
            <w:r w:rsidR="003E4CCB">
              <w:rPr>
                <w:webHidden/>
              </w:rPr>
              <w:tab/>
            </w:r>
            <w:r w:rsidR="003E4CCB">
              <w:rPr>
                <w:webHidden/>
              </w:rPr>
              <w:fldChar w:fldCharType="begin"/>
            </w:r>
            <w:r w:rsidR="003E4CCB">
              <w:rPr>
                <w:webHidden/>
              </w:rPr>
              <w:instrText xml:space="preserve"> PAGEREF _Toc499119286 \h </w:instrText>
            </w:r>
            <w:r w:rsidR="003E4CCB">
              <w:rPr>
                <w:webHidden/>
              </w:rPr>
            </w:r>
            <w:r w:rsidR="003E4CCB">
              <w:rPr>
                <w:webHidden/>
              </w:rPr>
              <w:fldChar w:fldCharType="separate"/>
            </w:r>
            <w:r w:rsidR="0056665C">
              <w:rPr>
                <w:webHidden/>
              </w:rPr>
              <w:t>4</w:t>
            </w:r>
            <w:r w:rsidR="003E4CCB">
              <w:rPr>
                <w:webHidden/>
              </w:rPr>
              <w:fldChar w:fldCharType="end"/>
            </w:r>
          </w:hyperlink>
        </w:p>
        <w:p w14:paraId="4B526C40" w14:textId="5E25BCD5" w:rsidR="003E4CCB" w:rsidRDefault="00BE3BE8">
          <w:pPr>
            <w:pStyle w:val="Inhopg3"/>
            <w:tabs>
              <w:tab w:val="left" w:pos="880"/>
              <w:tab w:val="right" w:leader="dot" w:pos="9062"/>
            </w:tabs>
            <w:rPr>
              <w:rFonts w:asciiTheme="minorHAnsi" w:eastAsiaTheme="minorEastAsia" w:hAnsiTheme="minorHAnsi" w:cstheme="minorBidi"/>
              <w:noProof/>
              <w:szCs w:val="22"/>
              <w:lang w:val="nl-BE" w:eastAsia="nl-BE"/>
            </w:rPr>
          </w:pPr>
          <w:hyperlink w:anchor="_Toc499119287" w:history="1">
            <w:r w:rsidR="003E4CCB" w:rsidRPr="004C44A9">
              <w:rPr>
                <w:rStyle w:val="Hyperlink"/>
                <w:rFonts w:eastAsiaTheme="majorEastAsia"/>
                <w:noProof/>
              </w:rPr>
              <w:t>1.</w:t>
            </w:r>
            <w:r w:rsidR="003E4CCB">
              <w:rPr>
                <w:rFonts w:asciiTheme="minorHAnsi" w:eastAsiaTheme="minorEastAsia" w:hAnsiTheme="minorHAnsi" w:cstheme="minorBidi"/>
                <w:noProof/>
                <w:szCs w:val="22"/>
                <w:lang w:val="nl-BE" w:eastAsia="nl-BE"/>
              </w:rPr>
              <w:tab/>
            </w:r>
            <w:r w:rsidR="003E4CCB" w:rsidRPr="004C44A9">
              <w:rPr>
                <w:rStyle w:val="Hyperlink"/>
                <w:rFonts w:eastAsiaTheme="majorEastAsia"/>
                <w:noProof/>
              </w:rPr>
              <w:t>Hernieuwbare energie</w:t>
            </w:r>
            <w:r w:rsidR="003E4CCB">
              <w:rPr>
                <w:noProof/>
                <w:webHidden/>
              </w:rPr>
              <w:tab/>
            </w:r>
            <w:r w:rsidR="003E4CCB">
              <w:rPr>
                <w:noProof/>
                <w:webHidden/>
              </w:rPr>
              <w:fldChar w:fldCharType="begin"/>
            </w:r>
            <w:r w:rsidR="003E4CCB">
              <w:rPr>
                <w:noProof/>
                <w:webHidden/>
              </w:rPr>
              <w:instrText xml:space="preserve"> PAGEREF _Toc499119287 \h </w:instrText>
            </w:r>
            <w:r w:rsidR="003E4CCB">
              <w:rPr>
                <w:noProof/>
                <w:webHidden/>
              </w:rPr>
            </w:r>
            <w:r w:rsidR="003E4CCB">
              <w:rPr>
                <w:noProof/>
                <w:webHidden/>
              </w:rPr>
              <w:fldChar w:fldCharType="separate"/>
            </w:r>
            <w:r w:rsidR="0056665C">
              <w:rPr>
                <w:noProof/>
                <w:webHidden/>
              </w:rPr>
              <w:t>4</w:t>
            </w:r>
            <w:r w:rsidR="003E4CCB">
              <w:rPr>
                <w:noProof/>
                <w:webHidden/>
              </w:rPr>
              <w:fldChar w:fldCharType="end"/>
            </w:r>
          </w:hyperlink>
        </w:p>
        <w:p w14:paraId="340FA72C" w14:textId="2DB2641C" w:rsidR="003E4CCB" w:rsidRDefault="00BE3BE8">
          <w:pPr>
            <w:pStyle w:val="Inhopg3"/>
            <w:tabs>
              <w:tab w:val="left" w:pos="880"/>
              <w:tab w:val="right" w:leader="dot" w:pos="9062"/>
            </w:tabs>
            <w:rPr>
              <w:rFonts w:asciiTheme="minorHAnsi" w:eastAsiaTheme="minorEastAsia" w:hAnsiTheme="minorHAnsi" w:cstheme="minorBidi"/>
              <w:noProof/>
              <w:szCs w:val="22"/>
              <w:lang w:val="nl-BE" w:eastAsia="nl-BE"/>
            </w:rPr>
          </w:pPr>
          <w:hyperlink w:anchor="_Toc499119288" w:history="1">
            <w:r w:rsidR="003E4CCB" w:rsidRPr="004C44A9">
              <w:rPr>
                <w:rStyle w:val="Hyperlink"/>
                <w:rFonts w:eastAsiaTheme="majorEastAsia"/>
                <w:noProof/>
              </w:rPr>
              <w:t>2.</w:t>
            </w:r>
            <w:r w:rsidR="003E4CCB">
              <w:rPr>
                <w:rFonts w:asciiTheme="minorHAnsi" w:eastAsiaTheme="minorEastAsia" w:hAnsiTheme="minorHAnsi" w:cstheme="minorBidi"/>
                <w:noProof/>
                <w:szCs w:val="22"/>
                <w:lang w:val="nl-BE" w:eastAsia="nl-BE"/>
              </w:rPr>
              <w:tab/>
            </w:r>
            <w:r w:rsidR="003E4CCB" w:rsidRPr="004C44A9">
              <w:rPr>
                <w:rStyle w:val="Hyperlink"/>
                <w:rFonts w:eastAsiaTheme="majorEastAsia"/>
                <w:noProof/>
              </w:rPr>
              <w:t>Duurzame energie</w:t>
            </w:r>
            <w:r w:rsidR="003E4CCB">
              <w:rPr>
                <w:noProof/>
                <w:webHidden/>
              </w:rPr>
              <w:tab/>
            </w:r>
            <w:r w:rsidR="003E4CCB">
              <w:rPr>
                <w:noProof/>
                <w:webHidden/>
              </w:rPr>
              <w:fldChar w:fldCharType="begin"/>
            </w:r>
            <w:r w:rsidR="003E4CCB">
              <w:rPr>
                <w:noProof/>
                <w:webHidden/>
              </w:rPr>
              <w:instrText xml:space="preserve"> PAGEREF _Toc499119288 \h </w:instrText>
            </w:r>
            <w:r w:rsidR="003E4CCB">
              <w:rPr>
                <w:noProof/>
                <w:webHidden/>
              </w:rPr>
            </w:r>
            <w:r w:rsidR="003E4CCB">
              <w:rPr>
                <w:noProof/>
                <w:webHidden/>
              </w:rPr>
              <w:fldChar w:fldCharType="separate"/>
            </w:r>
            <w:r w:rsidR="0056665C">
              <w:rPr>
                <w:noProof/>
                <w:webHidden/>
              </w:rPr>
              <w:t>5</w:t>
            </w:r>
            <w:r w:rsidR="003E4CCB">
              <w:rPr>
                <w:noProof/>
                <w:webHidden/>
              </w:rPr>
              <w:fldChar w:fldCharType="end"/>
            </w:r>
          </w:hyperlink>
        </w:p>
        <w:p w14:paraId="578D073E" w14:textId="24FA3228" w:rsidR="003E4CCB" w:rsidRDefault="00BE3BE8">
          <w:pPr>
            <w:pStyle w:val="Inhopg3"/>
            <w:tabs>
              <w:tab w:val="left" w:pos="880"/>
              <w:tab w:val="right" w:leader="dot" w:pos="9062"/>
            </w:tabs>
            <w:rPr>
              <w:rFonts w:asciiTheme="minorHAnsi" w:eastAsiaTheme="minorEastAsia" w:hAnsiTheme="minorHAnsi" w:cstheme="minorBidi"/>
              <w:noProof/>
              <w:szCs w:val="22"/>
              <w:lang w:val="nl-BE" w:eastAsia="nl-BE"/>
            </w:rPr>
          </w:pPr>
          <w:hyperlink w:anchor="_Toc499119289" w:history="1">
            <w:r w:rsidR="003E4CCB" w:rsidRPr="004C44A9">
              <w:rPr>
                <w:rStyle w:val="Hyperlink"/>
                <w:rFonts w:eastAsiaTheme="majorEastAsia"/>
                <w:noProof/>
              </w:rPr>
              <w:t>3.</w:t>
            </w:r>
            <w:r w:rsidR="003E4CCB">
              <w:rPr>
                <w:rFonts w:asciiTheme="minorHAnsi" w:eastAsiaTheme="minorEastAsia" w:hAnsiTheme="minorHAnsi" w:cstheme="minorBidi"/>
                <w:noProof/>
                <w:szCs w:val="22"/>
                <w:lang w:val="nl-BE" w:eastAsia="nl-BE"/>
              </w:rPr>
              <w:tab/>
            </w:r>
            <w:r w:rsidR="003E4CCB" w:rsidRPr="004C44A9">
              <w:rPr>
                <w:rStyle w:val="Hyperlink"/>
                <w:rFonts w:eastAsiaTheme="majorEastAsia"/>
                <w:noProof/>
              </w:rPr>
              <w:t>Opslag van energie</w:t>
            </w:r>
            <w:r w:rsidR="003E4CCB">
              <w:rPr>
                <w:noProof/>
                <w:webHidden/>
              </w:rPr>
              <w:tab/>
            </w:r>
            <w:r w:rsidR="003E4CCB">
              <w:rPr>
                <w:noProof/>
                <w:webHidden/>
              </w:rPr>
              <w:fldChar w:fldCharType="begin"/>
            </w:r>
            <w:r w:rsidR="003E4CCB">
              <w:rPr>
                <w:noProof/>
                <w:webHidden/>
              </w:rPr>
              <w:instrText xml:space="preserve"> PAGEREF _Toc499119289 \h </w:instrText>
            </w:r>
            <w:r w:rsidR="003E4CCB">
              <w:rPr>
                <w:noProof/>
                <w:webHidden/>
              </w:rPr>
            </w:r>
            <w:r w:rsidR="003E4CCB">
              <w:rPr>
                <w:noProof/>
                <w:webHidden/>
              </w:rPr>
              <w:fldChar w:fldCharType="separate"/>
            </w:r>
            <w:r w:rsidR="0056665C">
              <w:rPr>
                <w:noProof/>
                <w:webHidden/>
              </w:rPr>
              <w:t>5</w:t>
            </w:r>
            <w:r w:rsidR="003E4CCB">
              <w:rPr>
                <w:noProof/>
                <w:webHidden/>
              </w:rPr>
              <w:fldChar w:fldCharType="end"/>
            </w:r>
          </w:hyperlink>
        </w:p>
        <w:p w14:paraId="585BC192" w14:textId="489B7C7D" w:rsidR="003E4CCB" w:rsidRDefault="00BE3BE8">
          <w:pPr>
            <w:pStyle w:val="Inhopg3"/>
            <w:tabs>
              <w:tab w:val="left" w:pos="880"/>
              <w:tab w:val="right" w:leader="dot" w:pos="9062"/>
            </w:tabs>
            <w:rPr>
              <w:rFonts w:asciiTheme="minorHAnsi" w:eastAsiaTheme="minorEastAsia" w:hAnsiTheme="minorHAnsi" w:cstheme="minorBidi"/>
              <w:noProof/>
              <w:szCs w:val="22"/>
              <w:lang w:val="nl-BE" w:eastAsia="nl-BE"/>
            </w:rPr>
          </w:pPr>
          <w:hyperlink w:anchor="_Toc499119290" w:history="1">
            <w:r w:rsidR="003E4CCB" w:rsidRPr="004C44A9">
              <w:rPr>
                <w:rStyle w:val="Hyperlink"/>
                <w:rFonts w:eastAsiaTheme="majorEastAsia"/>
                <w:noProof/>
              </w:rPr>
              <w:t>4.</w:t>
            </w:r>
            <w:r w:rsidR="003E4CCB">
              <w:rPr>
                <w:rFonts w:asciiTheme="minorHAnsi" w:eastAsiaTheme="minorEastAsia" w:hAnsiTheme="minorHAnsi" w:cstheme="minorBidi"/>
                <w:noProof/>
                <w:szCs w:val="22"/>
                <w:lang w:val="nl-BE" w:eastAsia="nl-BE"/>
              </w:rPr>
              <w:tab/>
            </w:r>
            <w:r w:rsidR="003E4CCB" w:rsidRPr="004C44A9">
              <w:rPr>
                <w:rStyle w:val="Hyperlink"/>
                <w:rFonts w:eastAsiaTheme="majorEastAsia"/>
                <w:noProof/>
              </w:rPr>
              <w:t>Circulaire economie</w:t>
            </w:r>
            <w:r w:rsidR="003E4CCB">
              <w:rPr>
                <w:noProof/>
                <w:webHidden/>
              </w:rPr>
              <w:tab/>
            </w:r>
            <w:r w:rsidR="003E4CCB">
              <w:rPr>
                <w:noProof/>
                <w:webHidden/>
              </w:rPr>
              <w:fldChar w:fldCharType="begin"/>
            </w:r>
            <w:r w:rsidR="003E4CCB">
              <w:rPr>
                <w:noProof/>
                <w:webHidden/>
              </w:rPr>
              <w:instrText xml:space="preserve"> PAGEREF _Toc499119290 \h </w:instrText>
            </w:r>
            <w:r w:rsidR="003E4CCB">
              <w:rPr>
                <w:noProof/>
                <w:webHidden/>
              </w:rPr>
            </w:r>
            <w:r w:rsidR="003E4CCB">
              <w:rPr>
                <w:noProof/>
                <w:webHidden/>
              </w:rPr>
              <w:fldChar w:fldCharType="separate"/>
            </w:r>
            <w:r w:rsidR="0056665C">
              <w:rPr>
                <w:noProof/>
                <w:webHidden/>
              </w:rPr>
              <w:t>5</w:t>
            </w:r>
            <w:r w:rsidR="003E4CCB">
              <w:rPr>
                <w:noProof/>
                <w:webHidden/>
              </w:rPr>
              <w:fldChar w:fldCharType="end"/>
            </w:r>
          </w:hyperlink>
        </w:p>
        <w:p w14:paraId="531DD508" w14:textId="75764F9E" w:rsidR="003E4CCB" w:rsidRDefault="00BE3BE8">
          <w:pPr>
            <w:pStyle w:val="Inhopg3"/>
            <w:tabs>
              <w:tab w:val="left" w:pos="880"/>
              <w:tab w:val="right" w:leader="dot" w:pos="9062"/>
            </w:tabs>
            <w:rPr>
              <w:rFonts w:asciiTheme="minorHAnsi" w:eastAsiaTheme="minorEastAsia" w:hAnsiTheme="minorHAnsi" w:cstheme="minorBidi"/>
              <w:noProof/>
              <w:szCs w:val="22"/>
              <w:lang w:val="nl-BE" w:eastAsia="nl-BE"/>
            </w:rPr>
          </w:pPr>
          <w:hyperlink w:anchor="_Toc499119291" w:history="1">
            <w:r w:rsidR="003E4CCB" w:rsidRPr="004C44A9">
              <w:rPr>
                <w:rStyle w:val="Hyperlink"/>
                <w:rFonts w:eastAsiaTheme="majorEastAsia"/>
                <w:noProof/>
              </w:rPr>
              <w:t>5.</w:t>
            </w:r>
            <w:r w:rsidR="003E4CCB">
              <w:rPr>
                <w:rFonts w:asciiTheme="minorHAnsi" w:eastAsiaTheme="minorEastAsia" w:hAnsiTheme="minorHAnsi" w:cstheme="minorBidi"/>
                <w:noProof/>
                <w:szCs w:val="22"/>
                <w:lang w:val="nl-BE" w:eastAsia="nl-BE"/>
              </w:rPr>
              <w:tab/>
            </w:r>
            <w:r w:rsidR="003E4CCB" w:rsidRPr="004C44A9">
              <w:rPr>
                <w:rStyle w:val="Hyperlink"/>
                <w:rFonts w:eastAsiaTheme="majorEastAsia"/>
                <w:noProof/>
              </w:rPr>
              <w:t>Overige</w:t>
            </w:r>
            <w:r w:rsidR="003E4CCB">
              <w:rPr>
                <w:noProof/>
                <w:webHidden/>
              </w:rPr>
              <w:tab/>
            </w:r>
            <w:r w:rsidR="003E4CCB">
              <w:rPr>
                <w:noProof/>
                <w:webHidden/>
              </w:rPr>
              <w:fldChar w:fldCharType="begin"/>
            </w:r>
            <w:r w:rsidR="003E4CCB">
              <w:rPr>
                <w:noProof/>
                <w:webHidden/>
              </w:rPr>
              <w:instrText xml:space="preserve"> PAGEREF _Toc499119291 \h </w:instrText>
            </w:r>
            <w:r w:rsidR="003E4CCB">
              <w:rPr>
                <w:noProof/>
                <w:webHidden/>
              </w:rPr>
            </w:r>
            <w:r w:rsidR="003E4CCB">
              <w:rPr>
                <w:noProof/>
                <w:webHidden/>
              </w:rPr>
              <w:fldChar w:fldCharType="separate"/>
            </w:r>
            <w:r w:rsidR="0056665C">
              <w:rPr>
                <w:noProof/>
                <w:webHidden/>
              </w:rPr>
              <w:t>5</w:t>
            </w:r>
            <w:r w:rsidR="003E4CCB">
              <w:rPr>
                <w:noProof/>
                <w:webHidden/>
              </w:rPr>
              <w:fldChar w:fldCharType="end"/>
            </w:r>
          </w:hyperlink>
        </w:p>
        <w:p w14:paraId="3A826953" w14:textId="6C9DE2CA" w:rsidR="003E4CCB" w:rsidRDefault="00BE3BE8">
          <w:pPr>
            <w:pStyle w:val="Inhopg2"/>
            <w:rPr>
              <w:rFonts w:eastAsiaTheme="minorEastAsia" w:cstheme="minorBidi"/>
              <w:sz w:val="22"/>
              <w:szCs w:val="22"/>
              <w:lang w:val="nl-BE" w:eastAsia="nl-BE"/>
            </w:rPr>
          </w:pPr>
          <w:hyperlink w:anchor="_Toc499119292" w:history="1">
            <w:r w:rsidR="003E4CCB" w:rsidRPr="004C44A9">
              <w:rPr>
                <w:rStyle w:val="Hyperlink"/>
              </w:rPr>
              <w:t>Duurzaamheid ‘Portefeuillebeheerder’:</w:t>
            </w:r>
            <w:r w:rsidR="003E4CCB">
              <w:rPr>
                <w:webHidden/>
              </w:rPr>
              <w:tab/>
            </w:r>
            <w:r w:rsidR="003E4CCB">
              <w:rPr>
                <w:webHidden/>
              </w:rPr>
              <w:fldChar w:fldCharType="begin"/>
            </w:r>
            <w:r w:rsidR="003E4CCB">
              <w:rPr>
                <w:webHidden/>
              </w:rPr>
              <w:instrText xml:space="preserve"> PAGEREF _Toc499119292 \h </w:instrText>
            </w:r>
            <w:r w:rsidR="003E4CCB">
              <w:rPr>
                <w:webHidden/>
              </w:rPr>
            </w:r>
            <w:r w:rsidR="003E4CCB">
              <w:rPr>
                <w:webHidden/>
              </w:rPr>
              <w:fldChar w:fldCharType="separate"/>
            </w:r>
            <w:r w:rsidR="0056665C">
              <w:rPr>
                <w:webHidden/>
              </w:rPr>
              <w:t>5</w:t>
            </w:r>
            <w:r w:rsidR="003E4CCB">
              <w:rPr>
                <w:webHidden/>
              </w:rPr>
              <w:fldChar w:fldCharType="end"/>
            </w:r>
          </w:hyperlink>
        </w:p>
        <w:p w14:paraId="380F71B1" w14:textId="5B3A7734" w:rsidR="003E4CCB" w:rsidRDefault="00BE3BE8">
          <w:pPr>
            <w:pStyle w:val="Inhopg1"/>
            <w:rPr>
              <w:rFonts w:asciiTheme="minorHAnsi" w:eastAsiaTheme="minorEastAsia" w:hAnsiTheme="minorHAnsi" w:cstheme="minorBidi"/>
              <w:sz w:val="22"/>
              <w:szCs w:val="22"/>
              <w:lang w:val="nl-BE" w:eastAsia="nl-BE"/>
            </w:rPr>
          </w:pPr>
          <w:hyperlink w:anchor="_Toc499119293" w:history="1">
            <w:r w:rsidR="003E4CCB" w:rsidRPr="004C44A9">
              <w:rPr>
                <w:rStyle w:val="Hyperlink"/>
              </w:rPr>
              <w:t>3. Behalen en naleving van de duurzaamheidsdoelstellingen.</w:t>
            </w:r>
            <w:r w:rsidR="003E4CCB">
              <w:rPr>
                <w:webHidden/>
              </w:rPr>
              <w:tab/>
            </w:r>
            <w:r w:rsidR="003E4CCB">
              <w:rPr>
                <w:webHidden/>
              </w:rPr>
              <w:fldChar w:fldCharType="begin"/>
            </w:r>
            <w:r w:rsidR="003E4CCB">
              <w:rPr>
                <w:webHidden/>
              </w:rPr>
              <w:instrText xml:space="preserve"> PAGEREF _Toc499119293 \h </w:instrText>
            </w:r>
            <w:r w:rsidR="003E4CCB">
              <w:rPr>
                <w:webHidden/>
              </w:rPr>
            </w:r>
            <w:r w:rsidR="003E4CCB">
              <w:rPr>
                <w:webHidden/>
              </w:rPr>
              <w:fldChar w:fldCharType="separate"/>
            </w:r>
            <w:r w:rsidR="0056665C">
              <w:rPr>
                <w:webHidden/>
              </w:rPr>
              <w:t>6</w:t>
            </w:r>
            <w:r w:rsidR="003E4CCB">
              <w:rPr>
                <w:webHidden/>
              </w:rPr>
              <w:fldChar w:fldCharType="end"/>
            </w:r>
          </w:hyperlink>
        </w:p>
        <w:p w14:paraId="4389534A" w14:textId="15360E95" w:rsidR="003E4CCB" w:rsidRDefault="00BE3BE8">
          <w:pPr>
            <w:pStyle w:val="Inhopg1"/>
            <w:rPr>
              <w:rFonts w:asciiTheme="minorHAnsi" w:eastAsiaTheme="minorEastAsia" w:hAnsiTheme="minorHAnsi" w:cstheme="minorBidi"/>
              <w:sz w:val="22"/>
              <w:szCs w:val="22"/>
              <w:lang w:val="nl-BE" w:eastAsia="nl-BE"/>
            </w:rPr>
          </w:pPr>
          <w:hyperlink w:anchor="_Toc499119294" w:history="1">
            <w:r w:rsidR="003E4CCB" w:rsidRPr="004C44A9">
              <w:rPr>
                <w:rStyle w:val="Hyperlink"/>
              </w:rPr>
              <w:t>4. Interne en externe controle op de portefeuille.</w:t>
            </w:r>
            <w:r w:rsidR="003E4CCB">
              <w:rPr>
                <w:webHidden/>
              </w:rPr>
              <w:tab/>
            </w:r>
            <w:r w:rsidR="003E4CCB">
              <w:rPr>
                <w:webHidden/>
              </w:rPr>
              <w:fldChar w:fldCharType="begin"/>
            </w:r>
            <w:r w:rsidR="003E4CCB">
              <w:rPr>
                <w:webHidden/>
              </w:rPr>
              <w:instrText xml:space="preserve"> PAGEREF _Toc499119294 \h </w:instrText>
            </w:r>
            <w:r w:rsidR="003E4CCB">
              <w:rPr>
                <w:webHidden/>
              </w:rPr>
            </w:r>
            <w:r w:rsidR="003E4CCB">
              <w:rPr>
                <w:webHidden/>
              </w:rPr>
              <w:fldChar w:fldCharType="separate"/>
            </w:r>
            <w:r w:rsidR="0056665C">
              <w:rPr>
                <w:webHidden/>
              </w:rPr>
              <w:t>6</w:t>
            </w:r>
            <w:r w:rsidR="003E4CCB">
              <w:rPr>
                <w:webHidden/>
              </w:rPr>
              <w:fldChar w:fldCharType="end"/>
            </w:r>
          </w:hyperlink>
        </w:p>
        <w:p w14:paraId="0A7CB430" w14:textId="728FBBA2" w:rsidR="0015360D" w:rsidRDefault="009F26D6">
          <w:r>
            <w:rPr>
              <w:rFonts w:ascii="Calibri" w:eastAsiaTheme="majorEastAsia" w:hAnsi="Calibri"/>
              <w:noProof/>
              <w:sz w:val="32"/>
              <w:szCs w:val="32"/>
            </w:rPr>
            <w:fldChar w:fldCharType="end"/>
          </w:r>
        </w:p>
      </w:sdtContent>
    </w:sdt>
    <w:p w14:paraId="20F9D99A" w14:textId="77777777" w:rsidR="0015360D" w:rsidRDefault="0015360D" w:rsidP="00211BFC">
      <w:pPr>
        <w:pStyle w:val="Kop1"/>
      </w:pPr>
    </w:p>
    <w:p w14:paraId="21CCEF04" w14:textId="77777777" w:rsidR="0015360D" w:rsidRDefault="0015360D">
      <w:pPr>
        <w:spacing w:after="160" w:line="259" w:lineRule="auto"/>
        <w:rPr>
          <w:rFonts w:asciiTheme="majorHAnsi" w:eastAsiaTheme="majorEastAsia" w:hAnsiTheme="majorHAnsi" w:cstheme="majorBidi"/>
          <w:color w:val="2E74B5" w:themeColor="accent1" w:themeShade="BF"/>
          <w:sz w:val="32"/>
          <w:szCs w:val="32"/>
        </w:rPr>
      </w:pPr>
      <w:r>
        <w:br w:type="page"/>
      </w:r>
    </w:p>
    <w:p w14:paraId="62906194" w14:textId="71E57654" w:rsidR="00F6084E" w:rsidRDefault="00F6084E" w:rsidP="007D59E1">
      <w:pPr>
        <w:pStyle w:val="Kop1"/>
      </w:pPr>
      <w:bookmarkStart w:id="0" w:name="_Toc499119280"/>
      <w:r>
        <w:lastRenderedPageBreak/>
        <w:t>1</w:t>
      </w:r>
      <w:r w:rsidR="00D06082" w:rsidRPr="00D878DC">
        <w:t xml:space="preserve">. </w:t>
      </w:r>
      <w:r w:rsidR="00E62A95">
        <w:t>Benchmark portefeuille</w:t>
      </w:r>
      <w:r w:rsidR="00305F60">
        <w:t>.</w:t>
      </w:r>
      <w:bookmarkEnd w:id="0"/>
    </w:p>
    <w:p w14:paraId="0203AB4D" w14:textId="4B7727EF" w:rsidR="00F6084E" w:rsidRDefault="00F6084E" w:rsidP="00F6084E"/>
    <w:p w14:paraId="26350CC2" w14:textId="2C80EB23" w:rsidR="00E62A95" w:rsidRDefault="00E62A95" w:rsidP="00E62A95">
      <w:pPr>
        <w:jc w:val="both"/>
        <w:rPr>
          <w:sz w:val="22"/>
          <w:szCs w:val="22"/>
          <w:lang w:val="nl-BE" w:eastAsia="en-US"/>
        </w:rPr>
      </w:pPr>
      <w:r>
        <w:rPr>
          <w:sz w:val="22"/>
          <w:szCs w:val="22"/>
          <w:lang w:val="nl-BE" w:eastAsia="en-US"/>
        </w:rPr>
        <w:t>De krijtlijnen en de Benchmarks van de huidige portefeuille van de Universiteit Gent zien er voor alle portefeuille-beheerders momenteel als volgt uit:</w:t>
      </w:r>
    </w:p>
    <w:p w14:paraId="7F9D0A32" w14:textId="77777777" w:rsidR="00E62A95" w:rsidRDefault="00E62A95" w:rsidP="00E62A95">
      <w:pPr>
        <w:jc w:val="both"/>
        <w:rPr>
          <w:sz w:val="22"/>
          <w:szCs w:val="22"/>
          <w:lang w:val="nl-BE" w:eastAsia="en-US"/>
        </w:rPr>
      </w:pPr>
    </w:p>
    <w:tbl>
      <w:tblPr>
        <w:tblW w:w="8554" w:type="dxa"/>
        <w:tblInd w:w="75" w:type="dxa"/>
        <w:tblCellMar>
          <w:left w:w="0" w:type="dxa"/>
          <w:right w:w="0" w:type="dxa"/>
        </w:tblCellMar>
        <w:tblLook w:val="04A0" w:firstRow="1" w:lastRow="0" w:firstColumn="1" w:lastColumn="0" w:noHBand="0" w:noVBand="1"/>
      </w:tblPr>
      <w:tblGrid>
        <w:gridCol w:w="2980"/>
        <w:gridCol w:w="700"/>
        <w:gridCol w:w="1198"/>
        <w:gridCol w:w="720"/>
        <w:gridCol w:w="3014"/>
      </w:tblGrid>
      <w:tr w:rsidR="00E62A95" w14:paraId="702440EA" w14:textId="77777777" w:rsidTr="00E62A95">
        <w:trPr>
          <w:trHeight w:val="375"/>
        </w:trPr>
        <w:tc>
          <w:tcPr>
            <w:tcW w:w="2980" w:type="dxa"/>
            <w:tcBorders>
              <w:top w:val="single" w:sz="8" w:space="0" w:color="auto"/>
              <w:left w:val="single" w:sz="8" w:space="0" w:color="auto"/>
              <w:bottom w:val="single" w:sz="8" w:space="0" w:color="auto"/>
              <w:right w:val="single" w:sz="8" w:space="0" w:color="auto"/>
            </w:tcBorders>
            <w:shd w:val="clear" w:color="auto" w:fill="4F81BD"/>
            <w:noWrap/>
            <w:tcMar>
              <w:top w:w="0" w:type="dxa"/>
              <w:left w:w="70" w:type="dxa"/>
              <w:bottom w:w="0" w:type="dxa"/>
              <w:right w:w="70" w:type="dxa"/>
            </w:tcMar>
            <w:vAlign w:val="bottom"/>
            <w:hideMark/>
          </w:tcPr>
          <w:p w14:paraId="5C3745C4" w14:textId="77777777" w:rsidR="00E62A95" w:rsidRDefault="00E62A95" w:rsidP="00E62A95">
            <w:pPr>
              <w:jc w:val="both"/>
            </w:pPr>
            <w:r>
              <w:rPr>
                <w:b/>
                <w:bCs/>
                <w:color w:val="FFFFFF"/>
                <w:sz w:val="28"/>
                <w:szCs w:val="28"/>
                <w:lang w:eastAsia="nl-BE"/>
              </w:rPr>
              <w:t>Activaklasse</w:t>
            </w:r>
          </w:p>
        </w:tc>
        <w:tc>
          <w:tcPr>
            <w:tcW w:w="700" w:type="dxa"/>
            <w:tcBorders>
              <w:top w:val="single" w:sz="8" w:space="0" w:color="auto"/>
              <w:left w:val="nil"/>
              <w:bottom w:val="single" w:sz="8" w:space="0" w:color="auto"/>
              <w:right w:val="single" w:sz="8" w:space="0" w:color="auto"/>
            </w:tcBorders>
            <w:shd w:val="clear" w:color="auto" w:fill="4F81BD"/>
            <w:noWrap/>
            <w:tcMar>
              <w:top w:w="0" w:type="dxa"/>
              <w:left w:w="70" w:type="dxa"/>
              <w:bottom w:w="0" w:type="dxa"/>
              <w:right w:w="70" w:type="dxa"/>
            </w:tcMar>
            <w:vAlign w:val="bottom"/>
            <w:hideMark/>
          </w:tcPr>
          <w:p w14:paraId="4F7C617E" w14:textId="77777777" w:rsidR="00E62A95" w:rsidRDefault="00E62A95" w:rsidP="00E62A95">
            <w:pPr>
              <w:jc w:val="both"/>
            </w:pPr>
            <w:r>
              <w:rPr>
                <w:b/>
                <w:bCs/>
                <w:color w:val="FFFFFF"/>
                <w:sz w:val="28"/>
                <w:szCs w:val="28"/>
                <w:lang w:eastAsia="nl-BE"/>
              </w:rPr>
              <w:t>Min</w:t>
            </w:r>
          </w:p>
        </w:tc>
        <w:tc>
          <w:tcPr>
            <w:tcW w:w="1140" w:type="dxa"/>
            <w:tcBorders>
              <w:top w:val="single" w:sz="8" w:space="0" w:color="auto"/>
              <w:left w:val="nil"/>
              <w:bottom w:val="single" w:sz="8" w:space="0" w:color="auto"/>
              <w:right w:val="single" w:sz="8" w:space="0" w:color="auto"/>
            </w:tcBorders>
            <w:shd w:val="clear" w:color="auto" w:fill="4F81BD"/>
            <w:noWrap/>
            <w:tcMar>
              <w:top w:w="0" w:type="dxa"/>
              <w:left w:w="70" w:type="dxa"/>
              <w:bottom w:w="0" w:type="dxa"/>
              <w:right w:w="70" w:type="dxa"/>
            </w:tcMar>
            <w:vAlign w:val="bottom"/>
            <w:hideMark/>
          </w:tcPr>
          <w:p w14:paraId="71B51130" w14:textId="77777777" w:rsidR="00E62A95" w:rsidRDefault="00E62A95" w:rsidP="00E62A95">
            <w:pPr>
              <w:jc w:val="both"/>
            </w:pPr>
            <w:r>
              <w:rPr>
                <w:b/>
                <w:bCs/>
                <w:color w:val="FFFFFF"/>
                <w:sz w:val="28"/>
                <w:szCs w:val="28"/>
                <w:lang w:eastAsia="nl-BE"/>
              </w:rPr>
              <w:t>Neutraal</w:t>
            </w:r>
          </w:p>
        </w:tc>
        <w:tc>
          <w:tcPr>
            <w:tcW w:w="720" w:type="dxa"/>
            <w:tcBorders>
              <w:top w:val="single" w:sz="8" w:space="0" w:color="auto"/>
              <w:left w:val="nil"/>
              <w:bottom w:val="single" w:sz="8" w:space="0" w:color="auto"/>
              <w:right w:val="single" w:sz="8" w:space="0" w:color="auto"/>
            </w:tcBorders>
            <w:shd w:val="clear" w:color="auto" w:fill="4F81BD"/>
            <w:noWrap/>
            <w:tcMar>
              <w:top w:w="0" w:type="dxa"/>
              <w:left w:w="70" w:type="dxa"/>
              <w:bottom w:w="0" w:type="dxa"/>
              <w:right w:w="70" w:type="dxa"/>
            </w:tcMar>
            <w:vAlign w:val="bottom"/>
            <w:hideMark/>
          </w:tcPr>
          <w:p w14:paraId="4A61464A" w14:textId="77777777" w:rsidR="00E62A95" w:rsidRDefault="00E62A95" w:rsidP="00E62A95">
            <w:pPr>
              <w:jc w:val="both"/>
            </w:pPr>
            <w:r>
              <w:rPr>
                <w:b/>
                <w:bCs/>
                <w:color w:val="FFFFFF"/>
                <w:sz w:val="28"/>
                <w:szCs w:val="28"/>
                <w:lang w:eastAsia="nl-BE"/>
              </w:rPr>
              <w:t>Max</w:t>
            </w:r>
          </w:p>
        </w:tc>
        <w:tc>
          <w:tcPr>
            <w:tcW w:w="3014" w:type="dxa"/>
            <w:tcBorders>
              <w:top w:val="single" w:sz="8" w:space="0" w:color="auto"/>
              <w:left w:val="nil"/>
              <w:bottom w:val="single" w:sz="8" w:space="0" w:color="auto"/>
              <w:right w:val="single" w:sz="8" w:space="0" w:color="auto"/>
            </w:tcBorders>
            <w:shd w:val="clear" w:color="auto" w:fill="4F81BD"/>
            <w:noWrap/>
            <w:tcMar>
              <w:top w:w="0" w:type="dxa"/>
              <w:left w:w="70" w:type="dxa"/>
              <w:bottom w:w="0" w:type="dxa"/>
              <w:right w:w="70" w:type="dxa"/>
            </w:tcMar>
            <w:vAlign w:val="bottom"/>
            <w:hideMark/>
          </w:tcPr>
          <w:p w14:paraId="10D2556F" w14:textId="77777777" w:rsidR="00E62A95" w:rsidRDefault="00E62A95" w:rsidP="00E62A95">
            <w:pPr>
              <w:jc w:val="both"/>
            </w:pPr>
            <w:r>
              <w:rPr>
                <w:b/>
                <w:bCs/>
                <w:color w:val="FFFFFF"/>
                <w:sz w:val="28"/>
                <w:szCs w:val="28"/>
                <w:lang w:eastAsia="nl-BE"/>
              </w:rPr>
              <w:t>Benchmark</w:t>
            </w:r>
          </w:p>
        </w:tc>
      </w:tr>
      <w:tr w:rsidR="00E62A95" w14:paraId="4EF61E7C" w14:textId="77777777" w:rsidTr="00E62A95">
        <w:trPr>
          <w:trHeight w:val="315"/>
        </w:trPr>
        <w:tc>
          <w:tcPr>
            <w:tcW w:w="298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39DB36B0" w14:textId="77777777" w:rsidR="00E62A95" w:rsidRDefault="00E62A95" w:rsidP="00E62A95">
            <w:pPr>
              <w:jc w:val="both"/>
            </w:pPr>
            <w:r>
              <w:rPr>
                <w:b/>
                <w:bCs/>
                <w:color w:val="000000"/>
                <w:lang w:eastAsia="nl-BE"/>
              </w:rPr>
              <w:t>Cash of overheidsobligaties</w:t>
            </w:r>
          </w:p>
        </w:tc>
        <w:tc>
          <w:tcPr>
            <w:tcW w:w="7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9CDC426" w14:textId="77777777" w:rsidR="00E62A95" w:rsidRDefault="00E62A95" w:rsidP="00E62A95">
            <w:pPr>
              <w:jc w:val="both"/>
            </w:pPr>
            <w:r>
              <w:rPr>
                <w:b/>
                <w:bCs/>
                <w:color w:val="000000"/>
                <w:lang w:eastAsia="nl-BE"/>
              </w:rPr>
              <w:t>60%</w:t>
            </w:r>
          </w:p>
        </w:tc>
        <w:tc>
          <w:tcPr>
            <w:tcW w:w="114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55EAA0D9" w14:textId="77777777" w:rsidR="00E62A95" w:rsidRDefault="00E62A95" w:rsidP="00E62A95">
            <w:pPr>
              <w:jc w:val="both"/>
            </w:pPr>
            <w:r>
              <w:rPr>
                <w:b/>
                <w:bCs/>
                <w:color w:val="000000"/>
                <w:lang w:eastAsia="nl-BE"/>
              </w:rPr>
              <w:t>70%</w:t>
            </w:r>
          </w:p>
        </w:tc>
        <w:tc>
          <w:tcPr>
            <w:tcW w:w="7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52983C5" w14:textId="77777777" w:rsidR="00E62A95" w:rsidRDefault="00E62A95" w:rsidP="00E62A95">
            <w:pPr>
              <w:jc w:val="both"/>
            </w:pPr>
            <w:r>
              <w:rPr>
                <w:b/>
                <w:bCs/>
                <w:color w:val="000000"/>
                <w:lang w:eastAsia="nl-BE"/>
              </w:rPr>
              <w:t>80%</w:t>
            </w:r>
          </w:p>
        </w:tc>
        <w:tc>
          <w:tcPr>
            <w:tcW w:w="301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4B0D55D" w14:textId="77777777" w:rsidR="00E62A95" w:rsidRDefault="00E62A95" w:rsidP="00E62A95">
            <w:pPr>
              <w:jc w:val="both"/>
            </w:pPr>
            <w:r>
              <w:rPr>
                <w:b/>
                <w:bCs/>
                <w:color w:val="000000"/>
                <w:lang w:eastAsia="nl-BE"/>
              </w:rPr>
              <w:t>JPM GBI Belgium</w:t>
            </w:r>
          </w:p>
        </w:tc>
      </w:tr>
      <w:tr w:rsidR="00E62A95" w14:paraId="267D98DA" w14:textId="77777777" w:rsidTr="00E62A95">
        <w:trPr>
          <w:trHeight w:val="315"/>
        </w:trPr>
        <w:tc>
          <w:tcPr>
            <w:tcW w:w="2980" w:type="dxa"/>
            <w:tcBorders>
              <w:top w:val="nil"/>
              <w:left w:val="single" w:sz="8" w:space="0" w:color="auto"/>
              <w:bottom w:val="nil"/>
              <w:right w:val="nil"/>
            </w:tcBorders>
            <w:noWrap/>
            <w:tcMar>
              <w:top w:w="0" w:type="dxa"/>
              <w:left w:w="70" w:type="dxa"/>
              <w:bottom w:w="0" w:type="dxa"/>
              <w:right w:w="70" w:type="dxa"/>
            </w:tcMar>
            <w:vAlign w:val="bottom"/>
            <w:hideMark/>
          </w:tcPr>
          <w:p w14:paraId="52FC62BF" w14:textId="77777777" w:rsidR="00E62A95" w:rsidRDefault="00E62A95" w:rsidP="00E62A95">
            <w:pPr>
              <w:jc w:val="both"/>
            </w:pPr>
            <w:r>
              <w:rPr>
                <w:color w:val="000000"/>
                <w:lang w:eastAsia="nl-BE"/>
              </w:rPr>
              <w:t>Cash</w:t>
            </w:r>
          </w:p>
        </w:tc>
        <w:tc>
          <w:tcPr>
            <w:tcW w:w="700" w:type="dxa"/>
            <w:noWrap/>
            <w:tcMar>
              <w:top w:w="0" w:type="dxa"/>
              <w:left w:w="70" w:type="dxa"/>
              <w:bottom w:w="0" w:type="dxa"/>
              <w:right w:w="70" w:type="dxa"/>
            </w:tcMar>
            <w:vAlign w:val="bottom"/>
            <w:hideMark/>
          </w:tcPr>
          <w:p w14:paraId="37652236" w14:textId="77777777" w:rsidR="00E62A95" w:rsidRDefault="00E62A95" w:rsidP="00E62A95">
            <w:pPr>
              <w:jc w:val="both"/>
            </w:pPr>
          </w:p>
        </w:tc>
        <w:tc>
          <w:tcPr>
            <w:tcW w:w="1140" w:type="dxa"/>
            <w:noWrap/>
            <w:tcMar>
              <w:top w:w="0" w:type="dxa"/>
              <w:left w:w="70" w:type="dxa"/>
              <w:bottom w:w="0" w:type="dxa"/>
              <w:right w:w="70" w:type="dxa"/>
            </w:tcMar>
            <w:vAlign w:val="bottom"/>
            <w:hideMark/>
          </w:tcPr>
          <w:p w14:paraId="3DDE4FE1" w14:textId="77777777" w:rsidR="00E62A95" w:rsidRDefault="00E62A95" w:rsidP="00E62A95">
            <w:pPr>
              <w:jc w:val="both"/>
              <w:rPr>
                <w:sz w:val="20"/>
                <w:szCs w:val="20"/>
                <w:lang w:eastAsia="nl-BE"/>
              </w:rPr>
            </w:pPr>
          </w:p>
        </w:tc>
        <w:tc>
          <w:tcPr>
            <w:tcW w:w="720" w:type="dxa"/>
            <w:noWrap/>
            <w:tcMar>
              <w:top w:w="0" w:type="dxa"/>
              <w:left w:w="70" w:type="dxa"/>
              <w:bottom w:w="0" w:type="dxa"/>
              <w:right w:w="70" w:type="dxa"/>
            </w:tcMar>
            <w:vAlign w:val="bottom"/>
            <w:hideMark/>
          </w:tcPr>
          <w:p w14:paraId="14AB318C" w14:textId="77777777" w:rsidR="00E62A95" w:rsidRDefault="00E62A95" w:rsidP="00E62A95">
            <w:pPr>
              <w:jc w:val="both"/>
              <w:rPr>
                <w:rFonts w:ascii="Calibri" w:eastAsiaTheme="minorHAnsi" w:hAnsi="Calibri"/>
                <w:sz w:val="22"/>
                <w:szCs w:val="22"/>
                <w:lang w:eastAsia="en-US"/>
              </w:rPr>
            </w:pPr>
            <w:r>
              <w:rPr>
                <w:color w:val="000000"/>
                <w:lang w:eastAsia="nl-BE"/>
              </w:rPr>
              <w:t>80%</w:t>
            </w:r>
          </w:p>
        </w:tc>
        <w:tc>
          <w:tcPr>
            <w:tcW w:w="3014" w:type="dxa"/>
            <w:tcBorders>
              <w:top w:val="nil"/>
              <w:left w:val="nil"/>
              <w:bottom w:val="nil"/>
              <w:right w:val="single" w:sz="8" w:space="0" w:color="auto"/>
            </w:tcBorders>
            <w:noWrap/>
            <w:tcMar>
              <w:top w:w="0" w:type="dxa"/>
              <w:left w:w="70" w:type="dxa"/>
              <w:bottom w:w="0" w:type="dxa"/>
              <w:right w:w="70" w:type="dxa"/>
            </w:tcMar>
            <w:vAlign w:val="bottom"/>
            <w:hideMark/>
          </w:tcPr>
          <w:p w14:paraId="0698944A" w14:textId="77777777" w:rsidR="00E62A95" w:rsidRDefault="00E62A95" w:rsidP="00E62A95">
            <w:pPr>
              <w:jc w:val="both"/>
            </w:pPr>
          </w:p>
        </w:tc>
      </w:tr>
      <w:tr w:rsidR="00E62A95" w14:paraId="06E5C4DC" w14:textId="77777777" w:rsidTr="00E62A95">
        <w:trPr>
          <w:trHeight w:val="315"/>
        </w:trPr>
        <w:tc>
          <w:tcPr>
            <w:tcW w:w="2980" w:type="dxa"/>
            <w:tcBorders>
              <w:top w:val="single" w:sz="8" w:space="0" w:color="4F81BD"/>
              <w:left w:val="single" w:sz="8" w:space="0" w:color="auto"/>
              <w:bottom w:val="nil"/>
              <w:right w:val="nil"/>
            </w:tcBorders>
            <w:noWrap/>
            <w:tcMar>
              <w:top w:w="0" w:type="dxa"/>
              <w:left w:w="70" w:type="dxa"/>
              <w:bottom w:w="0" w:type="dxa"/>
              <w:right w:w="70" w:type="dxa"/>
            </w:tcMar>
            <w:vAlign w:val="bottom"/>
            <w:hideMark/>
          </w:tcPr>
          <w:p w14:paraId="3B5D9EFD" w14:textId="77777777" w:rsidR="00E62A95" w:rsidRDefault="00E62A95" w:rsidP="00E62A95">
            <w:pPr>
              <w:jc w:val="both"/>
              <w:rPr>
                <w:rFonts w:ascii="Calibri" w:eastAsiaTheme="minorHAnsi" w:hAnsi="Calibri"/>
                <w:sz w:val="22"/>
                <w:szCs w:val="22"/>
                <w:lang w:eastAsia="en-US"/>
              </w:rPr>
            </w:pPr>
            <w:r>
              <w:rPr>
                <w:color w:val="000000"/>
                <w:lang w:eastAsia="nl-BE"/>
              </w:rPr>
              <w:t>Overheidsobligaties in €</w:t>
            </w:r>
          </w:p>
        </w:tc>
        <w:tc>
          <w:tcPr>
            <w:tcW w:w="700" w:type="dxa"/>
            <w:tcBorders>
              <w:top w:val="single" w:sz="8" w:space="0" w:color="4F81BD"/>
              <w:left w:val="nil"/>
              <w:bottom w:val="nil"/>
              <w:right w:val="nil"/>
            </w:tcBorders>
            <w:noWrap/>
            <w:tcMar>
              <w:top w:w="0" w:type="dxa"/>
              <w:left w:w="70" w:type="dxa"/>
              <w:bottom w:w="0" w:type="dxa"/>
              <w:right w:w="70" w:type="dxa"/>
            </w:tcMar>
            <w:vAlign w:val="bottom"/>
            <w:hideMark/>
          </w:tcPr>
          <w:p w14:paraId="11A927CE" w14:textId="77777777" w:rsidR="00E62A95" w:rsidRDefault="00E62A95" w:rsidP="00E62A95">
            <w:pPr>
              <w:jc w:val="both"/>
            </w:pPr>
          </w:p>
        </w:tc>
        <w:tc>
          <w:tcPr>
            <w:tcW w:w="1140" w:type="dxa"/>
            <w:tcBorders>
              <w:top w:val="single" w:sz="8" w:space="0" w:color="4F81BD"/>
              <w:left w:val="nil"/>
              <w:bottom w:val="nil"/>
              <w:right w:val="nil"/>
            </w:tcBorders>
            <w:noWrap/>
            <w:tcMar>
              <w:top w:w="0" w:type="dxa"/>
              <w:left w:w="70" w:type="dxa"/>
              <w:bottom w:w="0" w:type="dxa"/>
              <w:right w:w="70" w:type="dxa"/>
            </w:tcMar>
            <w:vAlign w:val="bottom"/>
            <w:hideMark/>
          </w:tcPr>
          <w:p w14:paraId="2168BFC9" w14:textId="77777777" w:rsidR="00E62A95" w:rsidRDefault="00E62A95" w:rsidP="00E62A95">
            <w:pPr>
              <w:jc w:val="both"/>
              <w:rPr>
                <w:rFonts w:ascii="Calibri" w:eastAsiaTheme="minorHAnsi" w:hAnsi="Calibri"/>
                <w:sz w:val="22"/>
                <w:szCs w:val="22"/>
                <w:lang w:eastAsia="en-US"/>
              </w:rPr>
            </w:pPr>
            <w:r>
              <w:rPr>
                <w:color w:val="000000"/>
                <w:lang w:eastAsia="nl-BE"/>
              </w:rPr>
              <w:t>60%</w:t>
            </w:r>
          </w:p>
        </w:tc>
        <w:tc>
          <w:tcPr>
            <w:tcW w:w="720" w:type="dxa"/>
            <w:tcBorders>
              <w:top w:val="single" w:sz="8" w:space="0" w:color="4F81BD"/>
              <w:left w:val="nil"/>
              <w:bottom w:val="nil"/>
              <w:right w:val="nil"/>
            </w:tcBorders>
            <w:noWrap/>
            <w:tcMar>
              <w:top w:w="0" w:type="dxa"/>
              <w:left w:w="70" w:type="dxa"/>
              <w:bottom w:w="0" w:type="dxa"/>
              <w:right w:w="70" w:type="dxa"/>
            </w:tcMar>
            <w:vAlign w:val="bottom"/>
            <w:hideMark/>
          </w:tcPr>
          <w:p w14:paraId="4A925377" w14:textId="77777777" w:rsidR="00E62A95" w:rsidRDefault="00E62A95" w:rsidP="00E62A95">
            <w:pPr>
              <w:jc w:val="both"/>
            </w:pPr>
            <w:r>
              <w:rPr>
                <w:color w:val="000000"/>
                <w:lang w:eastAsia="nl-BE"/>
              </w:rPr>
              <w:t>80%</w:t>
            </w:r>
          </w:p>
        </w:tc>
        <w:tc>
          <w:tcPr>
            <w:tcW w:w="3014" w:type="dxa"/>
            <w:tcBorders>
              <w:top w:val="single" w:sz="8" w:space="0" w:color="4F81BD"/>
              <w:left w:val="nil"/>
              <w:bottom w:val="nil"/>
              <w:right w:val="single" w:sz="8" w:space="0" w:color="auto"/>
            </w:tcBorders>
            <w:noWrap/>
            <w:tcMar>
              <w:top w:w="0" w:type="dxa"/>
              <w:left w:w="70" w:type="dxa"/>
              <w:bottom w:w="0" w:type="dxa"/>
              <w:right w:w="70" w:type="dxa"/>
            </w:tcMar>
            <w:vAlign w:val="bottom"/>
            <w:hideMark/>
          </w:tcPr>
          <w:p w14:paraId="6A98E713" w14:textId="77777777" w:rsidR="00E62A95" w:rsidRDefault="00E62A95" w:rsidP="00E62A95">
            <w:pPr>
              <w:jc w:val="both"/>
            </w:pPr>
          </w:p>
        </w:tc>
      </w:tr>
      <w:tr w:rsidR="00E62A95" w14:paraId="3C6FABEE" w14:textId="77777777" w:rsidTr="00E62A95">
        <w:trPr>
          <w:trHeight w:val="315"/>
        </w:trPr>
        <w:tc>
          <w:tcPr>
            <w:tcW w:w="2980" w:type="dxa"/>
            <w:tcBorders>
              <w:top w:val="single" w:sz="8" w:space="0" w:color="4F81BD"/>
              <w:left w:val="single" w:sz="8" w:space="0" w:color="auto"/>
              <w:bottom w:val="single" w:sz="8" w:space="0" w:color="auto"/>
              <w:right w:val="nil"/>
            </w:tcBorders>
            <w:noWrap/>
            <w:tcMar>
              <w:top w:w="0" w:type="dxa"/>
              <w:left w:w="70" w:type="dxa"/>
              <w:bottom w:w="0" w:type="dxa"/>
              <w:right w:w="70" w:type="dxa"/>
            </w:tcMar>
            <w:vAlign w:val="bottom"/>
            <w:hideMark/>
          </w:tcPr>
          <w:p w14:paraId="37BDD030" w14:textId="77777777" w:rsidR="00E62A95" w:rsidRDefault="00E62A95" w:rsidP="00E62A95">
            <w:pPr>
              <w:jc w:val="both"/>
              <w:rPr>
                <w:rFonts w:ascii="Calibri" w:eastAsiaTheme="minorHAnsi" w:hAnsi="Calibri"/>
                <w:sz w:val="22"/>
                <w:szCs w:val="22"/>
                <w:lang w:eastAsia="en-US"/>
              </w:rPr>
            </w:pPr>
            <w:r>
              <w:rPr>
                <w:color w:val="000000"/>
                <w:lang w:eastAsia="nl-BE"/>
              </w:rPr>
              <w:t>Bedrijfsobligaties in €</w:t>
            </w:r>
          </w:p>
        </w:tc>
        <w:tc>
          <w:tcPr>
            <w:tcW w:w="700" w:type="dxa"/>
            <w:tcBorders>
              <w:top w:val="single" w:sz="8" w:space="0" w:color="4F81BD"/>
              <w:left w:val="nil"/>
              <w:bottom w:val="single" w:sz="8" w:space="0" w:color="auto"/>
              <w:right w:val="nil"/>
            </w:tcBorders>
            <w:noWrap/>
            <w:tcMar>
              <w:top w:w="0" w:type="dxa"/>
              <w:left w:w="70" w:type="dxa"/>
              <w:bottom w:w="0" w:type="dxa"/>
              <w:right w:w="70" w:type="dxa"/>
            </w:tcMar>
            <w:vAlign w:val="bottom"/>
            <w:hideMark/>
          </w:tcPr>
          <w:p w14:paraId="07E897FC" w14:textId="77777777" w:rsidR="00E62A95" w:rsidRDefault="00E62A95" w:rsidP="00E62A95">
            <w:pPr>
              <w:jc w:val="both"/>
            </w:pPr>
            <w:r>
              <w:rPr>
                <w:color w:val="000000"/>
                <w:lang w:eastAsia="nl-BE"/>
              </w:rPr>
              <w:t>0%</w:t>
            </w:r>
          </w:p>
        </w:tc>
        <w:tc>
          <w:tcPr>
            <w:tcW w:w="1140" w:type="dxa"/>
            <w:tcBorders>
              <w:top w:val="single" w:sz="8" w:space="0" w:color="4F81BD"/>
              <w:left w:val="nil"/>
              <w:bottom w:val="single" w:sz="8" w:space="0" w:color="auto"/>
              <w:right w:val="nil"/>
            </w:tcBorders>
            <w:noWrap/>
            <w:tcMar>
              <w:top w:w="0" w:type="dxa"/>
              <w:left w:w="70" w:type="dxa"/>
              <w:bottom w:w="0" w:type="dxa"/>
              <w:right w:w="70" w:type="dxa"/>
            </w:tcMar>
            <w:vAlign w:val="bottom"/>
            <w:hideMark/>
          </w:tcPr>
          <w:p w14:paraId="011B4A29" w14:textId="77777777" w:rsidR="00E62A95" w:rsidRDefault="00E62A95" w:rsidP="00E62A95">
            <w:pPr>
              <w:jc w:val="both"/>
            </w:pPr>
            <w:r>
              <w:rPr>
                <w:color w:val="000000"/>
                <w:lang w:eastAsia="nl-BE"/>
              </w:rPr>
              <w:t>10%</w:t>
            </w:r>
          </w:p>
        </w:tc>
        <w:tc>
          <w:tcPr>
            <w:tcW w:w="720" w:type="dxa"/>
            <w:tcBorders>
              <w:top w:val="single" w:sz="8" w:space="0" w:color="4F81BD"/>
              <w:left w:val="nil"/>
              <w:bottom w:val="single" w:sz="8" w:space="0" w:color="auto"/>
              <w:right w:val="nil"/>
            </w:tcBorders>
            <w:noWrap/>
            <w:tcMar>
              <w:top w:w="0" w:type="dxa"/>
              <w:left w:w="70" w:type="dxa"/>
              <w:bottom w:w="0" w:type="dxa"/>
              <w:right w:w="70" w:type="dxa"/>
            </w:tcMar>
            <w:vAlign w:val="bottom"/>
            <w:hideMark/>
          </w:tcPr>
          <w:p w14:paraId="0EF8AF6F" w14:textId="77777777" w:rsidR="00E62A95" w:rsidRDefault="00E62A95" w:rsidP="00E62A95">
            <w:pPr>
              <w:jc w:val="both"/>
            </w:pPr>
            <w:r>
              <w:rPr>
                <w:color w:val="000000"/>
                <w:lang w:eastAsia="nl-BE"/>
              </w:rPr>
              <w:t>20%</w:t>
            </w:r>
          </w:p>
        </w:tc>
        <w:tc>
          <w:tcPr>
            <w:tcW w:w="3014" w:type="dxa"/>
            <w:tcBorders>
              <w:top w:val="single" w:sz="8" w:space="0" w:color="4F81BD"/>
              <w:left w:val="nil"/>
              <w:bottom w:val="single" w:sz="8" w:space="0" w:color="auto"/>
              <w:right w:val="single" w:sz="8" w:space="0" w:color="auto"/>
            </w:tcBorders>
            <w:noWrap/>
            <w:tcMar>
              <w:top w:w="0" w:type="dxa"/>
              <w:left w:w="70" w:type="dxa"/>
              <w:bottom w:w="0" w:type="dxa"/>
              <w:right w:w="70" w:type="dxa"/>
            </w:tcMar>
            <w:vAlign w:val="bottom"/>
            <w:hideMark/>
          </w:tcPr>
          <w:p w14:paraId="756EF310" w14:textId="77777777" w:rsidR="00E62A95" w:rsidRDefault="00E62A95" w:rsidP="00E62A95">
            <w:pPr>
              <w:jc w:val="both"/>
            </w:pPr>
            <w:r>
              <w:rPr>
                <w:color w:val="000000"/>
                <w:lang w:eastAsia="nl-BE"/>
              </w:rPr>
              <w:t>Iboxx Euro Corporate</w:t>
            </w:r>
          </w:p>
        </w:tc>
      </w:tr>
      <w:tr w:rsidR="00E62A95" w14:paraId="564EAFC1" w14:textId="77777777" w:rsidTr="00E62A95">
        <w:trPr>
          <w:trHeight w:val="315"/>
        </w:trPr>
        <w:tc>
          <w:tcPr>
            <w:tcW w:w="298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323961D" w14:textId="77777777" w:rsidR="00E62A95" w:rsidRDefault="00E62A95" w:rsidP="00E62A95">
            <w:pPr>
              <w:jc w:val="both"/>
            </w:pPr>
            <w:r>
              <w:rPr>
                <w:b/>
                <w:bCs/>
                <w:color w:val="000000"/>
                <w:lang w:eastAsia="nl-BE"/>
              </w:rPr>
              <w:t>Aandelen</w:t>
            </w:r>
          </w:p>
        </w:tc>
        <w:tc>
          <w:tcPr>
            <w:tcW w:w="7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742A968" w14:textId="77777777" w:rsidR="00E62A95" w:rsidRDefault="00E62A95" w:rsidP="00E62A95">
            <w:pPr>
              <w:jc w:val="both"/>
            </w:pPr>
            <w:r>
              <w:rPr>
                <w:b/>
                <w:bCs/>
                <w:color w:val="000000"/>
                <w:lang w:eastAsia="nl-BE"/>
              </w:rPr>
              <w:t>10%</w:t>
            </w:r>
          </w:p>
        </w:tc>
        <w:tc>
          <w:tcPr>
            <w:tcW w:w="114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369D093" w14:textId="77777777" w:rsidR="00E62A95" w:rsidRDefault="00E62A95" w:rsidP="00E62A95">
            <w:pPr>
              <w:jc w:val="both"/>
            </w:pPr>
            <w:r>
              <w:rPr>
                <w:b/>
                <w:bCs/>
                <w:color w:val="000000"/>
                <w:lang w:eastAsia="nl-BE"/>
              </w:rPr>
              <w:t>20%</w:t>
            </w:r>
          </w:p>
        </w:tc>
        <w:tc>
          <w:tcPr>
            <w:tcW w:w="7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4D73706B" w14:textId="77777777" w:rsidR="00E62A95" w:rsidRDefault="00E62A95" w:rsidP="00E62A95">
            <w:pPr>
              <w:jc w:val="both"/>
            </w:pPr>
            <w:r>
              <w:rPr>
                <w:b/>
                <w:bCs/>
                <w:color w:val="000000"/>
                <w:lang w:eastAsia="nl-BE"/>
              </w:rPr>
              <w:t>30%</w:t>
            </w:r>
          </w:p>
        </w:tc>
        <w:tc>
          <w:tcPr>
            <w:tcW w:w="301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60AC8A9E" w14:textId="77777777" w:rsidR="00E62A95" w:rsidRDefault="00E62A95" w:rsidP="00E62A95">
            <w:pPr>
              <w:jc w:val="both"/>
            </w:pPr>
            <w:r>
              <w:rPr>
                <w:b/>
                <w:bCs/>
                <w:color w:val="000000"/>
                <w:lang w:eastAsia="nl-BE"/>
              </w:rPr>
              <w:t>MSCI Europe ND</w:t>
            </w:r>
          </w:p>
        </w:tc>
      </w:tr>
      <w:tr w:rsidR="00E62A95" w:rsidRPr="00BE3BE8" w14:paraId="5FC72C74" w14:textId="77777777" w:rsidTr="00E62A95">
        <w:trPr>
          <w:trHeight w:val="315"/>
        </w:trPr>
        <w:tc>
          <w:tcPr>
            <w:tcW w:w="2980" w:type="dxa"/>
            <w:tcBorders>
              <w:top w:val="nil"/>
              <w:left w:val="single" w:sz="8" w:space="0" w:color="auto"/>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3B96F95" w14:textId="77777777" w:rsidR="00E62A95" w:rsidRDefault="00E62A95" w:rsidP="00E62A95">
            <w:pPr>
              <w:jc w:val="both"/>
            </w:pPr>
            <w:r>
              <w:rPr>
                <w:b/>
                <w:bCs/>
                <w:color w:val="000000"/>
                <w:lang w:eastAsia="nl-BE"/>
              </w:rPr>
              <w:t>Europees vastgoed</w:t>
            </w:r>
          </w:p>
        </w:tc>
        <w:tc>
          <w:tcPr>
            <w:tcW w:w="70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1BFA7342" w14:textId="77777777" w:rsidR="00E62A95" w:rsidRDefault="00E62A95" w:rsidP="00E62A95">
            <w:pPr>
              <w:jc w:val="both"/>
            </w:pPr>
            <w:r>
              <w:rPr>
                <w:b/>
                <w:bCs/>
                <w:color w:val="000000"/>
                <w:lang w:eastAsia="nl-BE"/>
              </w:rPr>
              <w:t>0%</w:t>
            </w:r>
          </w:p>
        </w:tc>
        <w:tc>
          <w:tcPr>
            <w:tcW w:w="114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7224736E" w14:textId="77777777" w:rsidR="00E62A95" w:rsidRDefault="00E62A95" w:rsidP="00E62A95">
            <w:pPr>
              <w:jc w:val="both"/>
            </w:pPr>
            <w:r>
              <w:rPr>
                <w:b/>
                <w:bCs/>
                <w:color w:val="000000"/>
                <w:lang w:eastAsia="nl-BE"/>
              </w:rPr>
              <w:t>10%</w:t>
            </w:r>
          </w:p>
        </w:tc>
        <w:tc>
          <w:tcPr>
            <w:tcW w:w="720"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7B6D3599" w14:textId="77777777" w:rsidR="00E62A95" w:rsidRDefault="00E62A95" w:rsidP="00E62A95">
            <w:pPr>
              <w:jc w:val="both"/>
            </w:pPr>
            <w:r>
              <w:rPr>
                <w:b/>
                <w:bCs/>
                <w:color w:val="000000"/>
                <w:lang w:eastAsia="nl-BE"/>
              </w:rPr>
              <w:t>20%</w:t>
            </w:r>
          </w:p>
        </w:tc>
        <w:tc>
          <w:tcPr>
            <w:tcW w:w="3014" w:type="dxa"/>
            <w:tcBorders>
              <w:top w:val="nil"/>
              <w:left w:val="nil"/>
              <w:bottom w:val="single" w:sz="8" w:space="0" w:color="auto"/>
              <w:right w:val="single" w:sz="8" w:space="0" w:color="auto"/>
            </w:tcBorders>
            <w:shd w:val="clear" w:color="auto" w:fill="D9D9D9"/>
            <w:noWrap/>
            <w:tcMar>
              <w:top w:w="0" w:type="dxa"/>
              <w:left w:w="70" w:type="dxa"/>
              <w:bottom w:w="0" w:type="dxa"/>
              <w:right w:w="70" w:type="dxa"/>
            </w:tcMar>
            <w:vAlign w:val="bottom"/>
            <w:hideMark/>
          </w:tcPr>
          <w:p w14:paraId="27AE2B7D" w14:textId="77777777" w:rsidR="00E62A95" w:rsidRPr="008F472A" w:rsidRDefault="00E62A95" w:rsidP="00E62A95">
            <w:pPr>
              <w:jc w:val="both"/>
              <w:rPr>
                <w:lang w:val="en-US"/>
              </w:rPr>
            </w:pPr>
            <w:r w:rsidRPr="008F472A">
              <w:rPr>
                <w:b/>
                <w:bCs/>
                <w:color w:val="000000"/>
                <w:lang w:val="en-US" w:eastAsia="nl-BE"/>
              </w:rPr>
              <w:t>EPRA Europe Net Return Index</w:t>
            </w:r>
          </w:p>
        </w:tc>
      </w:tr>
    </w:tbl>
    <w:p w14:paraId="77015A5E" w14:textId="77777777" w:rsidR="00E62A95" w:rsidRPr="008F472A" w:rsidRDefault="00E62A95" w:rsidP="00E62A95">
      <w:pPr>
        <w:jc w:val="both"/>
        <w:rPr>
          <w:rFonts w:ascii="Calibri" w:eastAsiaTheme="minorHAnsi" w:hAnsi="Calibri"/>
          <w:sz w:val="22"/>
          <w:szCs w:val="22"/>
          <w:lang w:val="en-US" w:eastAsia="en-US"/>
        </w:rPr>
      </w:pPr>
      <w:r w:rsidRPr="008F472A">
        <w:rPr>
          <w:lang w:val="en-US"/>
        </w:rPr>
        <w:t> </w:t>
      </w:r>
    </w:p>
    <w:p w14:paraId="09F4CE80" w14:textId="3D4E4571" w:rsidR="00E62A95" w:rsidRDefault="00E62A95" w:rsidP="00E62A95">
      <w:pPr>
        <w:jc w:val="both"/>
      </w:pPr>
      <w:r>
        <w:rPr>
          <w:u w:val="single"/>
        </w:rPr>
        <w:t>Als bijkomende bepalingen zijn opgenomen:</w:t>
      </w:r>
    </w:p>
    <w:p w14:paraId="0FA2ABD7" w14:textId="77777777" w:rsidR="00E62A95" w:rsidRDefault="00E62A95" w:rsidP="00E62A95">
      <w:pPr>
        <w:jc w:val="both"/>
      </w:pPr>
      <w:r>
        <w:t> </w:t>
      </w:r>
    </w:p>
    <w:p w14:paraId="6EA71871" w14:textId="51D7FC9B" w:rsidR="00E62A95" w:rsidRDefault="00E62A95" w:rsidP="00E62A95">
      <w:pPr>
        <w:pStyle w:val="Lijstalinea"/>
        <w:ind w:hanging="360"/>
        <w:jc w:val="both"/>
      </w:pPr>
      <w:r>
        <w:rPr>
          <w:rFonts w:ascii="Symbol" w:hAnsi="Symbol"/>
        </w:rPr>
        <w:t></w:t>
      </w:r>
      <w:r>
        <w:rPr>
          <w:sz w:val="14"/>
          <w:szCs w:val="14"/>
        </w:rPr>
        <w:t>        </w:t>
      </w:r>
      <w:r>
        <w:t xml:space="preserve">Overheidsobligaties moeten in EUR zijn en moeten minstens van het niveau ‘investment grade’ (minimaal rating triple B). </w:t>
      </w:r>
    </w:p>
    <w:p w14:paraId="6602A7DD" w14:textId="77777777" w:rsidR="00E62A95" w:rsidRDefault="00E62A95" w:rsidP="00E62A95">
      <w:pPr>
        <w:pStyle w:val="Lijstalinea"/>
        <w:ind w:hanging="360"/>
        <w:jc w:val="both"/>
      </w:pPr>
    </w:p>
    <w:p w14:paraId="1B618FE1" w14:textId="02507AAE" w:rsidR="00E62A95" w:rsidRDefault="00E62A95" w:rsidP="00E62A95">
      <w:pPr>
        <w:pStyle w:val="Lijstalinea"/>
        <w:ind w:hanging="360"/>
        <w:jc w:val="both"/>
      </w:pPr>
      <w:r>
        <w:rPr>
          <w:rFonts w:ascii="Symbol" w:hAnsi="Symbol"/>
        </w:rPr>
        <w:t></w:t>
      </w:r>
      <w:r>
        <w:rPr>
          <w:sz w:val="14"/>
          <w:szCs w:val="14"/>
        </w:rPr>
        <w:t xml:space="preserve">         </w:t>
      </w:r>
      <w:r>
        <w:t>Wisselkoersrisico is toegestaan voor ‘aandelen’ en ‘vastgoed’, maar maakt wel deel uit van de actieve positie (aangezien de benchmark EUR-gebaseerd is).</w:t>
      </w:r>
    </w:p>
    <w:p w14:paraId="647F1277" w14:textId="5AEBD0A1" w:rsidR="00300DB7" w:rsidRDefault="00300DB7" w:rsidP="00300DB7">
      <w:pPr>
        <w:jc w:val="both"/>
      </w:pPr>
    </w:p>
    <w:p w14:paraId="23AF9305" w14:textId="5F61F31D" w:rsidR="00300DB7" w:rsidRDefault="00300DB7" w:rsidP="00300DB7">
      <w:pPr>
        <w:jc w:val="both"/>
      </w:pPr>
      <w:r>
        <w:t>De UGent wenst deze Benchmarks te behouden. Het is niet de bedoeling om heel specifieke ‘duurzame’ investeringen in de portefeuille te gaan opnemen. De UGent verkiest het beleggen in ‘fondsen’ die een goede spreiding garanderen en het risico-profiel van de beleggingen niet wezenlijk verhogen.</w:t>
      </w:r>
    </w:p>
    <w:p w14:paraId="06338656" w14:textId="7E6B9398" w:rsidR="00300DB7" w:rsidRDefault="00300DB7" w:rsidP="00300DB7">
      <w:pPr>
        <w:jc w:val="both"/>
      </w:pPr>
    </w:p>
    <w:p w14:paraId="3E9F2CC6" w14:textId="5444EAF8" w:rsidR="00FA16D4" w:rsidRDefault="00FA16D4" w:rsidP="00FA16D4">
      <w:pPr>
        <w:pStyle w:val="Kop1"/>
      </w:pPr>
      <w:bookmarkStart w:id="1" w:name="_Toc499119281"/>
      <w:r>
        <w:t>2</w:t>
      </w:r>
      <w:r w:rsidRPr="00D878DC">
        <w:t xml:space="preserve">. </w:t>
      </w:r>
      <w:r>
        <w:t>Duurzaamheid investeringen buiten de portefeuille.</w:t>
      </w:r>
      <w:bookmarkEnd w:id="1"/>
    </w:p>
    <w:p w14:paraId="0D25F1BB" w14:textId="77777777" w:rsidR="00FA16D4" w:rsidRDefault="00FA16D4" w:rsidP="00300DB7">
      <w:pPr>
        <w:jc w:val="both"/>
      </w:pPr>
    </w:p>
    <w:p w14:paraId="4A152AC4" w14:textId="77777777" w:rsidR="00FA16D4" w:rsidRDefault="00300DB7" w:rsidP="00300DB7">
      <w:pPr>
        <w:jc w:val="both"/>
      </w:pPr>
      <w:r>
        <w:t>Een bedrag van 10 % van de portefeuille (€ 25 miljoen) we</w:t>
      </w:r>
      <w:r w:rsidR="00FA16D4">
        <w:t xml:space="preserve">rd na beslissing door de Raad van Bestuur uit de enveloppes getrokken, met als doel te </w:t>
      </w:r>
      <w:r>
        <w:t xml:space="preserve">kunnen </w:t>
      </w:r>
      <w:r w:rsidR="00FA16D4" w:rsidRPr="00FA16D4">
        <w:t>beleggen in initiatieven die nauw aansluiten bij de kernactiviteiten van de UGent</w:t>
      </w:r>
      <w:r w:rsidR="00FA16D4">
        <w:t xml:space="preserve"> of in ‘duurzame’ beleggingen die op voorstel van de commissie ‘duurzaam beleggen’ aan de Raad van Bestuur kunnen worden voorgelegd. </w:t>
      </w:r>
    </w:p>
    <w:p w14:paraId="617B3088" w14:textId="77777777" w:rsidR="00FA16D4" w:rsidRDefault="00FA16D4" w:rsidP="00300DB7">
      <w:pPr>
        <w:jc w:val="both"/>
      </w:pPr>
    </w:p>
    <w:p w14:paraId="000A1E2A" w14:textId="332932D5" w:rsidR="00300DB7" w:rsidRDefault="00FA16D4" w:rsidP="00300DB7">
      <w:pPr>
        <w:jc w:val="both"/>
      </w:pPr>
      <w:r>
        <w:t>Inzonderheid gaat het hier om ‘specifieke’ initiatieven die niet kunnen gevat worden in de portefeuilles en die niet noodzakelijker wijze rendement als hoofdcriteria heeft.</w:t>
      </w:r>
    </w:p>
    <w:p w14:paraId="4E8FE1E1" w14:textId="0CA8BC13" w:rsidR="00FA16D4" w:rsidRDefault="00FA16D4" w:rsidP="00300DB7">
      <w:pPr>
        <w:jc w:val="both"/>
      </w:pPr>
    </w:p>
    <w:p w14:paraId="4043CB7E" w14:textId="41F1B2F1" w:rsidR="00FA16D4" w:rsidRDefault="00FA16D4" w:rsidP="00300DB7">
      <w:pPr>
        <w:jc w:val="both"/>
      </w:pPr>
      <w:r>
        <w:t>De commissie ‘duurzaam beleggen’ engageert er zich toe dat voor ieder voor te leggen dossier alle aspecten van ‘duurzaamheid’ worden gescreend en meegenomen in de nota, zodat de Raad van Bestuur kan oordelen of dit initiatief het gewenste ambitieniveau haalt.</w:t>
      </w:r>
    </w:p>
    <w:p w14:paraId="3543D9C9" w14:textId="202D867F" w:rsidR="00E62A95" w:rsidRDefault="00E62A95" w:rsidP="00E62A95">
      <w:pPr>
        <w:jc w:val="both"/>
      </w:pPr>
    </w:p>
    <w:p w14:paraId="0D8D6E90" w14:textId="67ABDF35" w:rsidR="00E62A95" w:rsidRDefault="00E62A95" w:rsidP="00E62A95">
      <w:pPr>
        <w:jc w:val="both"/>
      </w:pPr>
    </w:p>
    <w:p w14:paraId="3AE71082" w14:textId="77777777" w:rsidR="00FA16D4" w:rsidRDefault="00FA16D4">
      <w:pPr>
        <w:spacing w:after="160" w:line="259" w:lineRule="auto"/>
        <w:rPr>
          <w:rFonts w:asciiTheme="majorHAnsi" w:eastAsiaTheme="majorEastAsia" w:hAnsiTheme="majorHAnsi" w:cstheme="majorBidi"/>
          <w:color w:val="2E74B5" w:themeColor="accent1" w:themeShade="BF"/>
          <w:sz w:val="32"/>
          <w:szCs w:val="32"/>
        </w:rPr>
      </w:pPr>
      <w:r>
        <w:br w:type="page"/>
      </w:r>
    </w:p>
    <w:p w14:paraId="2FB48A1F" w14:textId="31483A08" w:rsidR="00E62A95" w:rsidRDefault="00FA16D4" w:rsidP="00E62A95">
      <w:pPr>
        <w:pStyle w:val="Kop1"/>
      </w:pPr>
      <w:bookmarkStart w:id="2" w:name="_Toc499119282"/>
      <w:r>
        <w:lastRenderedPageBreak/>
        <w:t>3</w:t>
      </w:r>
      <w:r w:rsidR="00E62A95" w:rsidRPr="00D878DC">
        <w:t xml:space="preserve">. </w:t>
      </w:r>
      <w:r w:rsidR="00695B18">
        <w:t>Kader</w:t>
      </w:r>
      <w:r w:rsidR="00E62A95">
        <w:t xml:space="preserve"> ‘duurzame portefeuille’.</w:t>
      </w:r>
      <w:bookmarkEnd w:id="2"/>
    </w:p>
    <w:p w14:paraId="6BD68392" w14:textId="1809107C" w:rsidR="00E62A95" w:rsidRDefault="00E62A95" w:rsidP="00E62A95"/>
    <w:p w14:paraId="2ECA33DF" w14:textId="18BA06AE" w:rsidR="00E62A95" w:rsidRDefault="00E62A95" w:rsidP="00695B18">
      <w:pPr>
        <w:jc w:val="both"/>
      </w:pPr>
      <w:r>
        <w:t xml:space="preserve">De Universiteit Gent </w:t>
      </w:r>
      <w:r w:rsidR="00695B18">
        <w:t xml:space="preserve">wenst een </w:t>
      </w:r>
      <w:r>
        <w:t xml:space="preserve">beleggingsportefeuille </w:t>
      </w:r>
      <w:r w:rsidR="00695B18">
        <w:t xml:space="preserve">die in haar geheel </w:t>
      </w:r>
      <w:r>
        <w:t>‘duurzaam</w:t>
      </w:r>
      <w:r w:rsidR="009C72BC">
        <w:t xml:space="preserve"> &amp; </w:t>
      </w:r>
      <w:r w:rsidR="00FA16D4">
        <w:t xml:space="preserve">maatschappelijk </w:t>
      </w:r>
      <w:r w:rsidR="009C72BC">
        <w:t>verantwoord</w:t>
      </w:r>
      <w:r>
        <w:t xml:space="preserve">’ </w:t>
      </w:r>
      <w:r w:rsidR="00695B18">
        <w:t>is</w:t>
      </w:r>
      <w:r>
        <w:t xml:space="preserve">, waarbij de </w:t>
      </w:r>
      <w:r w:rsidR="00695B18">
        <w:t xml:space="preserve">verschillende </w:t>
      </w:r>
      <w:r>
        <w:t>Benchmark</w:t>
      </w:r>
      <w:r w:rsidR="00695B18">
        <w:t>s</w:t>
      </w:r>
      <w:r>
        <w:t xml:space="preserve"> </w:t>
      </w:r>
      <w:r w:rsidR="009C72BC">
        <w:t xml:space="preserve">zo veel mogelijk </w:t>
      </w:r>
      <w:r w:rsidR="00695B18">
        <w:t>aansluit</w:t>
      </w:r>
      <w:r w:rsidR="00FA16D4">
        <w:t>en</w:t>
      </w:r>
      <w:r w:rsidR="009C72BC">
        <w:t xml:space="preserve"> bij de huidige</w:t>
      </w:r>
      <w:r w:rsidR="006B237B">
        <w:t xml:space="preserve"> strategie</w:t>
      </w:r>
      <w:r w:rsidR="009C72BC">
        <w:t>.</w:t>
      </w:r>
      <w:r w:rsidR="006B237B">
        <w:t xml:space="preserve"> Dit betekent niet dat de huidige Benchmarks ook in de toekomst behouden zullen worden. </w:t>
      </w:r>
      <w:r w:rsidR="009E435F">
        <w:t xml:space="preserve">Wel mag het risico-profiel niet substantieel veranderen. </w:t>
      </w:r>
      <w:r w:rsidR="006B237B">
        <w:t xml:space="preserve">Als er meer aansluitende Benchmarks zijn, zal </w:t>
      </w:r>
      <w:r w:rsidR="009E435F">
        <w:t>aan</w:t>
      </w:r>
      <w:r w:rsidR="006B237B">
        <w:t xml:space="preserve"> het Bestuur worden gevraagd het referentiekader aan te passen.  </w:t>
      </w:r>
    </w:p>
    <w:p w14:paraId="339F082B" w14:textId="73A8842A" w:rsidR="00DA4ACF" w:rsidRDefault="00DA4ACF" w:rsidP="00695B18">
      <w:pPr>
        <w:jc w:val="both"/>
      </w:pPr>
    </w:p>
    <w:p w14:paraId="22E325E9" w14:textId="276C2BF9" w:rsidR="00DA4ACF" w:rsidRDefault="00DA4ACF" w:rsidP="00695B18">
      <w:pPr>
        <w:jc w:val="both"/>
      </w:pPr>
      <w:r>
        <w:t>Het doel van de portefeuille is én blijft het best mogelijke rendement te halen uit haar beschikbare middelen op middellange en lange termijn.</w:t>
      </w:r>
    </w:p>
    <w:p w14:paraId="4EA1DCF2" w14:textId="77777777" w:rsidR="00695B18" w:rsidRDefault="00695B18" w:rsidP="00695B18">
      <w:pPr>
        <w:jc w:val="both"/>
      </w:pPr>
    </w:p>
    <w:p w14:paraId="119BB69E" w14:textId="171FC91A" w:rsidR="00695B18" w:rsidRDefault="00695B18" w:rsidP="00695B18">
      <w:pPr>
        <w:jc w:val="both"/>
      </w:pPr>
      <w:r>
        <w:t>Het is de verantwoordelijkheid van de portefeuillebeheerders om permanent te screenen of de portefeuilles op ieder moment voldoen aan bovenstaand principe. Hierbij m</w:t>
      </w:r>
      <w:r w:rsidR="00F11BC0">
        <w:t xml:space="preserve">oet de portefeuille </w:t>
      </w:r>
      <w:r>
        <w:t xml:space="preserve">ook minstens jaarlijks </w:t>
      </w:r>
      <w:r w:rsidR="00F11BC0">
        <w:t>een audit krijgen</w:t>
      </w:r>
      <w:r>
        <w:t xml:space="preserve"> door een </w:t>
      </w:r>
      <w:r w:rsidR="00F11BC0">
        <w:t xml:space="preserve">erkende, </w:t>
      </w:r>
      <w:r>
        <w:t>onafhankelijke derde</w:t>
      </w:r>
      <w:r w:rsidR="00F11BC0">
        <w:t xml:space="preserve"> partij die door de Universiteit Gent werd goedgekeurd.</w:t>
      </w:r>
    </w:p>
    <w:p w14:paraId="789E8874" w14:textId="1F4ABF5B" w:rsidR="00695B18" w:rsidRDefault="00695B18" w:rsidP="00695B18">
      <w:pPr>
        <w:jc w:val="both"/>
      </w:pPr>
      <w:r>
        <w:t xml:space="preserve"> </w:t>
      </w:r>
    </w:p>
    <w:p w14:paraId="26632F07" w14:textId="6EE031DD" w:rsidR="00695B18" w:rsidRDefault="00695B18" w:rsidP="00695B18">
      <w:pPr>
        <w:jc w:val="both"/>
      </w:pPr>
      <w:r>
        <w:t xml:space="preserve">De Universiteit Gent </w:t>
      </w:r>
      <w:r w:rsidR="00F11BC0">
        <w:t xml:space="preserve">wenst van de portefeuillebeheerder alle wijzigingen aan de portefeuille te ontvangen die relevant kunnen zijn voor het duurzaam karakter ervan. Daarnaast wenst het eveneens éénmaal per jaar op jaareinde een overzicht te ontvangen van alle aandelen / obligaties die in de aangehouden fondsen aanwezig zijn. </w:t>
      </w:r>
    </w:p>
    <w:p w14:paraId="34374DAF" w14:textId="4C269134" w:rsidR="009C72BC" w:rsidRDefault="009C72BC" w:rsidP="00E62A95"/>
    <w:p w14:paraId="7E9D6249" w14:textId="16780810" w:rsidR="009C72BC" w:rsidRDefault="00B95FBC" w:rsidP="004C1A26">
      <w:pPr>
        <w:jc w:val="both"/>
      </w:pPr>
      <w:r>
        <w:t>In lijn met haar duurzaamheidsvisie (</w:t>
      </w:r>
      <w:r>
        <w:t>De Universiteit Gent wil een toonaangevende kennisinstelling zijn voor een toekomst die ecologisch, sociaal en economisch duurzaam is, binnen een lokale en mondiale context</w:t>
      </w:r>
      <w:r>
        <w:t>), wordt o</w:t>
      </w:r>
      <w:r w:rsidR="009C72BC">
        <w:t xml:space="preserve">nder </w:t>
      </w:r>
      <w:r w:rsidR="009C72BC" w:rsidRPr="009C72BC">
        <w:rPr>
          <w:u w:val="single"/>
        </w:rPr>
        <w:t>duurzaam</w:t>
      </w:r>
      <w:r w:rsidR="00695B18">
        <w:rPr>
          <w:u w:val="single"/>
        </w:rPr>
        <w:t xml:space="preserve"> &amp;</w:t>
      </w:r>
      <w:r w:rsidR="009C72BC">
        <w:rPr>
          <w:u w:val="single"/>
        </w:rPr>
        <w:t xml:space="preserve"> </w:t>
      </w:r>
      <w:r w:rsidR="00300DB7">
        <w:rPr>
          <w:u w:val="single"/>
        </w:rPr>
        <w:t xml:space="preserve">maatschappelijk </w:t>
      </w:r>
      <w:r w:rsidR="009C72BC">
        <w:rPr>
          <w:u w:val="single"/>
        </w:rPr>
        <w:t>verantwoord</w:t>
      </w:r>
      <w:r w:rsidR="009C72BC">
        <w:t xml:space="preserve"> </w:t>
      </w:r>
      <w:r w:rsidR="00F11BC0">
        <w:t>verstaan</w:t>
      </w:r>
      <w:r w:rsidR="009C72BC">
        <w:t>:</w:t>
      </w:r>
    </w:p>
    <w:p w14:paraId="6E30759A" w14:textId="1783E078" w:rsidR="009C72BC" w:rsidRDefault="009C72BC" w:rsidP="004C1A26">
      <w:pPr>
        <w:jc w:val="both"/>
      </w:pPr>
    </w:p>
    <w:p w14:paraId="39471032" w14:textId="51965629" w:rsidR="00F65C21" w:rsidRDefault="00F65C21" w:rsidP="00916421">
      <w:pPr>
        <w:pStyle w:val="Kop2"/>
      </w:pPr>
      <w:bookmarkStart w:id="3" w:name="_Toc499119283"/>
      <w:r w:rsidRPr="00F65C21">
        <w:t>Algemene uitsluitingen</w:t>
      </w:r>
      <w:bookmarkEnd w:id="3"/>
    </w:p>
    <w:p w14:paraId="54FEC280" w14:textId="77777777" w:rsidR="00F65C21" w:rsidRPr="00F65C21" w:rsidRDefault="00F65C21" w:rsidP="00F65C21">
      <w:pPr>
        <w:pStyle w:val="Lijstalinea"/>
        <w:jc w:val="both"/>
        <w:rPr>
          <w:b/>
          <w:i/>
        </w:rPr>
      </w:pPr>
    </w:p>
    <w:p w14:paraId="4EC3806E" w14:textId="43B8C27F" w:rsidR="00695B18" w:rsidRDefault="00695B18" w:rsidP="004C1A26">
      <w:pPr>
        <w:pStyle w:val="Lijstalinea"/>
        <w:numPr>
          <w:ilvl w:val="0"/>
          <w:numId w:val="12"/>
        </w:numPr>
        <w:jc w:val="both"/>
      </w:pPr>
      <w:r>
        <w:t>Uitsluiting van bedrijven die de 10 principes van de Global Compact (rond mensenrechten – arbeid – milieu en corruptie van de Verenigde Naties niet naleven of schenden</w:t>
      </w:r>
      <w:r w:rsidR="004C1A26">
        <w:t>.</w:t>
      </w:r>
    </w:p>
    <w:p w14:paraId="220A5E73" w14:textId="36EFEEB0" w:rsidR="00F65C21" w:rsidRDefault="00F65C21" w:rsidP="00F65C21">
      <w:pPr>
        <w:jc w:val="both"/>
      </w:pPr>
    </w:p>
    <w:p w14:paraId="2DA4A729" w14:textId="77777777" w:rsidR="00F65C21" w:rsidRDefault="00F65C21" w:rsidP="00F65C21">
      <w:pPr>
        <w:jc w:val="both"/>
      </w:pPr>
    </w:p>
    <w:p w14:paraId="4E622D8C" w14:textId="126D4458" w:rsidR="00D861C9" w:rsidRDefault="00F11BC0" w:rsidP="00F65C21">
      <w:pPr>
        <w:pStyle w:val="Lijstalinea"/>
        <w:numPr>
          <w:ilvl w:val="0"/>
          <w:numId w:val="12"/>
        </w:numPr>
      </w:pPr>
      <w:r>
        <w:t>Uitsluiting van bedrijven die zich bezig houden met omstreden activiteiten:</w:t>
      </w:r>
    </w:p>
    <w:p w14:paraId="04E3A1DD" w14:textId="77777777" w:rsidR="00F65C21" w:rsidRDefault="00F65C21" w:rsidP="00F65C21">
      <w:pPr>
        <w:pStyle w:val="Lijstalinea"/>
      </w:pPr>
    </w:p>
    <w:tbl>
      <w:tblPr>
        <w:tblStyle w:val="Gemiddeldearcering2-accent5"/>
        <w:tblW w:w="0" w:type="auto"/>
        <w:tblInd w:w="426" w:type="dxa"/>
        <w:tblLook w:val="04A0" w:firstRow="1" w:lastRow="0" w:firstColumn="1" w:lastColumn="0" w:noHBand="0" w:noVBand="1"/>
      </w:tblPr>
      <w:tblGrid>
        <w:gridCol w:w="6378"/>
        <w:gridCol w:w="2258"/>
      </w:tblGrid>
      <w:tr w:rsidR="004C1A26" w:rsidRPr="004C1A26" w14:paraId="430FF6BD" w14:textId="77777777" w:rsidTr="00D861C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378" w:type="dxa"/>
          </w:tcPr>
          <w:p w14:paraId="03C9AB6F" w14:textId="2450E4B1" w:rsidR="004C1A26" w:rsidRPr="004C1A26" w:rsidRDefault="004C1A26" w:rsidP="004C1A26">
            <w:pPr>
              <w:pStyle w:val="Lijstalinea"/>
              <w:ind w:left="0"/>
              <w:jc w:val="center"/>
              <w:rPr>
                <w:sz w:val="32"/>
                <w:szCs w:val="32"/>
              </w:rPr>
            </w:pPr>
            <w:r w:rsidRPr="004C1A26">
              <w:rPr>
                <w:sz w:val="32"/>
                <w:szCs w:val="32"/>
              </w:rPr>
              <w:t>Activiteit</w:t>
            </w:r>
          </w:p>
        </w:tc>
        <w:tc>
          <w:tcPr>
            <w:tcW w:w="2258" w:type="dxa"/>
          </w:tcPr>
          <w:p w14:paraId="6AC2825C" w14:textId="110C862C" w:rsidR="004C1A26" w:rsidRPr="004C1A26" w:rsidRDefault="004C1A26" w:rsidP="004C1A26">
            <w:pPr>
              <w:pStyle w:val="Lijstalinea"/>
              <w:ind w:left="0"/>
              <w:jc w:val="center"/>
              <w:cnfStyle w:val="100000000000" w:firstRow="1" w:lastRow="0" w:firstColumn="0" w:lastColumn="0" w:oddVBand="0" w:evenVBand="0" w:oddHBand="0" w:evenHBand="0" w:firstRowFirstColumn="0" w:firstRowLastColumn="0" w:lastRowFirstColumn="0" w:lastRowLastColumn="0"/>
              <w:rPr>
                <w:sz w:val="32"/>
                <w:szCs w:val="32"/>
              </w:rPr>
            </w:pPr>
            <w:r w:rsidRPr="004C1A26">
              <w:rPr>
                <w:sz w:val="32"/>
                <w:szCs w:val="32"/>
              </w:rPr>
              <w:t>Uitsluiting</w:t>
            </w:r>
          </w:p>
        </w:tc>
      </w:tr>
      <w:tr w:rsidR="004C1A26" w14:paraId="6DEC6AD9" w14:textId="77777777" w:rsidTr="00D86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8" w:type="dxa"/>
          </w:tcPr>
          <w:p w14:paraId="5679790A" w14:textId="49631BB6" w:rsidR="004C1A26" w:rsidRPr="004C1A26" w:rsidRDefault="004C1A26" w:rsidP="004C1A26">
            <w:r>
              <w:t>- Productie en/of verkoop van conventionele en niet-conventionele wapens</w:t>
            </w:r>
          </w:p>
        </w:tc>
        <w:tc>
          <w:tcPr>
            <w:tcW w:w="2258" w:type="dxa"/>
          </w:tcPr>
          <w:p w14:paraId="5DED6EDC" w14:textId="76B9755B" w:rsidR="0067562A" w:rsidRDefault="004C1A26" w:rsidP="00631247">
            <w:pPr>
              <w:pStyle w:val="Lijstalinea"/>
              <w:ind w:left="0"/>
              <w:cnfStyle w:val="000000100000" w:firstRow="0" w:lastRow="0" w:firstColumn="0" w:lastColumn="0" w:oddVBand="0" w:evenVBand="0" w:oddHBand="1" w:evenHBand="0" w:firstRowFirstColumn="0" w:firstRowLastColumn="0" w:lastRowFirstColumn="0" w:lastRowLastColumn="0"/>
            </w:pPr>
            <w:r>
              <w:t xml:space="preserve">&gt; </w:t>
            </w:r>
            <w:r w:rsidR="00D861C9">
              <w:t>1</w:t>
            </w:r>
            <w:r>
              <w:t xml:space="preserve"> % van de omzet</w:t>
            </w:r>
          </w:p>
          <w:p w14:paraId="0D25604F" w14:textId="6864233D" w:rsidR="0067562A" w:rsidRDefault="0067562A" w:rsidP="00631247">
            <w:pPr>
              <w:pStyle w:val="Lijstalinea"/>
              <w:ind w:left="0"/>
              <w:cnfStyle w:val="000000100000" w:firstRow="0" w:lastRow="0" w:firstColumn="0" w:lastColumn="0" w:oddVBand="0" w:evenVBand="0" w:oddHBand="1" w:evenHBand="0" w:firstRowFirstColumn="0" w:firstRowLastColumn="0" w:lastRowFirstColumn="0" w:lastRowLastColumn="0"/>
            </w:pPr>
          </w:p>
        </w:tc>
      </w:tr>
      <w:tr w:rsidR="004C1A26" w14:paraId="6B87282C" w14:textId="77777777" w:rsidTr="00D861C9">
        <w:tc>
          <w:tcPr>
            <w:cnfStyle w:val="001000000000" w:firstRow="0" w:lastRow="0" w:firstColumn="1" w:lastColumn="0" w:oddVBand="0" w:evenVBand="0" w:oddHBand="0" w:evenHBand="0" w:firstRowFirstColumn="0" w:firstRowLastColumn="0" w:lastRowFirstColumn="0" w:lastRowLastColumn="0"/>
            <w:tcW w:w="6378" w:type="dxa"/>
          </w:tcPr>
          <w:p w14:paraId="21CBF0DC" w14:textId="29560409" w:rsidR="004C1A26" w:rsidRDefault="0067562A" w:rsidP="00631247">
            <w:pPr>
              <w:pStyle w:val="Lijstalinea"/>
              <w:ind w:left="0"/>
            </w:pPr>
            <w:r>
              <w:t>- Democratie index (</w:t>
            </w:r>
            <w:r w:rsidRPr="0067562A">
              <w:t>Economist Intelligence Unit</w:t>
            </w:r>
            <w:r>
              <w:t>): investeringen in autoritaire regimes</w:t>
            </w:r>
          </w:p>
        </w:tc>
        <w:tc>
          <w:tcPr>
            <w:tcW w:w="2258" w:type="dxa"/>
          </w:tcPr>
          <w:p w14:paraId="27E3DC4C" w14:textId="306BE1B8" w:rsidR="004C1A26" w:rsidRDefault="0067562A" w:rsidP="00631247">
            <w:pPr>
              <w:pStyle w:val="Lijstalinea"/>
              <w:ind w:left="0"/>
              <w:cnfStyle w:val="000000000000" w:firstRow="0" w:lastRow="0" w:firstColumn="0" w:lastColumn="0" w:oddVBand="0" w:evenVBand="0" w:oddHBand="0" w:evenHBand="0" w:firstRowFirstColumn="0" w:firstRowLastColumn="0" w:lastRowFirstColumn="0" w:lastRowLastColumn="0"/>
            </w:pPr>
            <w:r>
              <w:t>&gt; 1 % van de omzet</w:t>
            </w:r>
          </w:p>
        </w:tc>
      </w:tr>
      <w:tr w:rsidR="004C1A26" w14:paraId="5DED6F45" w14:textId="77777777" w:rsidTr="00D86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8" w:type="dxa"/>
          </w:tcPr>
          <w:p w14:paraId="3B1D14A6" w14:textId="658D61B3" w:rsidR="004C1A26" w:rsidRDefault="0067562A" w:rsidP="003E2C3A">
            <w:pPr>
              <w:pStyle w:val="Lijstalinea"/>
              <w:ind w:left="0"/>
            </w:pPr>
            <w:r>
              <w:t xml:space="preserve">- Tabak  </w:t>
            </w:r>
          </w:p>
        </w:tc>
        <w:tc>
          <w:tcPr>
            <w:tcW w:w="2258" w:type="dxa"/>
          </w:tcPr>
          <w:p w14:paraId="65ADF719" w14:textId="6B5B8F5D" w:rsidR="004C1A26" w:rsidRDefault="0067562A" w:rsidP="00631247">
            <w:pPr>
              <w:pStyle w:val="Lijstalinea"/>
              <w:ind w:left="0"/>
              <w:cnfStyle w:val="000000100000" w:firstRow="0" w:lastRow="0" w:firstColumn="0" w:lastColumn="0" w:oddVBand="0" w:evenVBand="0" w:oddHBand="1" w:evenHBand="0" w:firstRowFirstColumn="0" w:firstRowLastColumn="0" w:lastRowFirstColumn="0" w:lastRowLastColumn="0"/>
            </w:pPr>
            <w:r>
              <w:t>&gt; 1 % van de omzet</w:t>
            </w:r>
          </w:p>
        </w:tc>
      </w:tr>
      <w:tr w:rsidR="004C1A26" w14:paraId="04B29960" w14:textId="77777777" w:rsidTr="00D861C9">
        <w:tc>
          <w:tcPr>
            <w:cnfStyle w:val="001000000000" w:firstRow="0" w:lastRow="0" w:firstColumn="1" w:lastColumn="0" w:oddVBand="0" w:evenVBand="0" w:oddHBand="0" w:evenHBand="0" w:firstRowFirstColumn="0" w:firstRowLastColumn="0" w:lastRowFirstColumn="0" w:lastRowLastColumn="0"/>
            <w:tcW w:w="6378" w:type="dxa"/>
          </w:tcPr>
          <w:p w14:paraId="78D28733" w14:textId="4B8D5BBF" w:rsidR="004C1A26" w:rsidRDefault="00932ABD" w:rsidP="003E2C3A">
            <w:pPr>
              <w:pStyle w:val="Lijstalinea"/>
              <w:ind w:left="0"/>
            </w:pPr>
            <w:r>
              <w:t xml:space="preserve">- </w:t>
            </w:r>
            <w:r w:rsidR="003E2C3A">
              <w:t xml:space="preserve">Pornografie </w:t>
            </w:r>
          </w:p>
        </w:tc>
        <w:tc>
          <w:tcPr>
            <w:tcW w:w="2258" w:type="dxa"/>
          </w:tcPr>
          <w:p w14:paraId="3F99A743" w14:textId="4EE04AF1" w:rsidR="004C1A26" w:rsidRDefault="00932ABD" w:rsidP="00631247">
            <w:pPr>
              <w:pStyle w:val="Lijstalinea"/>
              <w:ind w:left="0"/>
              <w:cnfStyle w:val="000000000000" w:firstRow="0" w:lastRow="0" w:firstColumn="0" w:lastColumn="0" w:oddVBand="0" w:evenVBand="0" w:oddHBand="0" w:evenHBand="0" w:firstRowFirstColumn="0" w:firstRowLastColumn="0" w:lastRowFirstColumn="0" w:lastRowLastColumn="0"/>
            </w:pPr>
            <w:r>
              <w:t>&gt; 5 % van de omzet</w:t>
            </w:r>
          </w:p>
        </w:tc>
      </w:tr>
      <w:tr w:rsidR="003E2C3A" w14:paraId="3E39F040" w14:textId="77777777" w:rsidTr="00D861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8" w:type="dxa"/>
          </w:tcPr>
          <w:p w14:paraId="128FEC43" w14:textId="37254724" w:rsidR="003E2C3A" w:rsidRDefault="003E2C3A" w:rsidP="003E2C3A">
            <w:pPr>
              <w:pStyle w:val="Lijstalinea"/>
              <w:ind w:left="0"/>
            </w:pPr>
            <w:r>
              <w:t>- Bont en Leer</w:t>
            </w:r>
          </w:p>
        </w:tc>
        <w:tc>
          <w:tcPr>
            <w:tcW w:w="2258" w:type="dxa"/>
          </w:tcPr>
          <w:p w14:paraId="36679132" w14:textId="65047DBF" w:rsidR="003E2C3A" w:rsidRDefault="003E2C3A" w:rsidP="003E2C3A">
            <w:pPr>
              <w:pStyle w:val="Lijstalinea"/>
              <w:ind w:left="0"/>
              <w:cnfStyle w:val="000000100000" w:firstRow="0" w:lastRow="0" w:firstColumn="0" w:lastColumn="0" w:oddVBand="0" w:evenVBand="0" w:oddHBand="1" w:evenHBand="0" w:firstRowFirstColumn="0" w:firstRowLastColumn="0" w:lastRowFirstColumn="0" w:lastRowLastColumn="0"/>
            </w:pPr>
            <w:r>
              <w:t>&gt; 5 % van de omzet</w:t>
            </w:r>
          </w:p>
        </w:tc>
      </w:tr>
      <w:tr w:rsidR="003E2C3A" w14:paraId="498A48AD" w14:textId="77777777" w:rsidTr="00D861C9">
        <w:tc>
          <w:tcPr>
            <w:cnfStyle w:val="001000000000" w:firstRow="0" w:lastRow="0" w:firstColumn="1" w:lastColumn="0" w:oddVBand="0" w:evenVBand="0" w:oddHBand="0" w:evenHBand="0" w:firstRowFirstColumn="0" w:firstRowLastColumn="0" w:lastRowFirstColumn="0" w:lastRowLastColumn="0"/>
            <w:tcW w:w="6378" w:type="dxa"/>
          </w:tcPr>
          <w:p w14:paraId="6D757C64" w14:textId="2795811D" w:rsidR="003E2C3A" w:rsidRDefault="003E2C3A" w:rsidP="003E2C3A">
            <w:pPr>
              <w:pStyle w:val="Lijstalinea"/>
              <w:ind w:left="0"/>
            </w:pPr>
            <w:r>
              <w:t>- Kansspelen</w:t>
            </w:r>
          </w:p>
        </w:tc>
        <w:tc>
          <w:tcPr>
            <w:tcW w:w="2258" w:type="dxa"/>
          </w:tcPr>
          <w:p w14:paraId="4F31EE28" w14:textId="739B1880" w:rsidR="003E2C3A" w:rsidRDefault="003E2C3A" w:rsidP="003E2C3A">
            <w:pPr>
              <w:pStyle w:val="Lijstalinea"/>
              <w:ind w:left="0"/>
              <w:cnfStyle w:val="000000000000" w:firstRow="0" w:lastRow="0" w:firstColumn="0" w:lastColumn="0" w:oddVBand="0" w:evenVBand="0" w:oddHBand="0" w:evenHBand="0" w:firstRowFirstColumn="0" w:firstRowLastColumn="0" w:lastRowFirstColumn="0" w:lastRowLastColumn="0"/>
            </w:pPr>
            <w:r>
              <w:t>&gt; 25 % van de omzet</w:t>
            </w:r>
          </w:p>
        </w:tc>
      </w:tr>
    </w:tbl>
    <w:p w14:paraId="7358C0AD" w14:textId="400D7D7C" w:rsidR="00631247" w:rsidRDefault="003E2C3A" w:rsidP="00631247">
      <w:pPr>
        <w:pStyle w:val="Lijstalinea"/>
      </w:pPr>
      <w:r>
        <w:t>(*) Deze lijst is niet limitatief en kan op ieder moment worden uitgebreid of aangepast.</w:t>
      </w:r>
    </w:p>
    <w:p w14:paraId="61390F4E" w14:textId="5E54A500" w:rsidR="00F11BC0" w:rsidRDefault="00F11BC0" w:rsidP="00F11BC0">
      <w:pPr>
        <w:pStyle w:val="Lijstalinea"/>
      </w:pPr>
    </w:p>
    <w:p w14:paraId="704AEBE1" w14:textId="77777777" w:rsidR="003E2C3A" w:rsidRDefault="003E2C3A" w:rsidP="00F11BC0">
      <w:pPr>
        <w:pStyle w:val="Lijstalinea"/>
      </w:pPr>
    </w:p>
    <w:p w14:paraId="78723749" w14:textId="77777777" w:rsidR="003E2C3A" w:rsidRDefault="003E2C3A">
      <w:pPr>
        <w:spacing w:after="160" w:line="259" w:lineRule="auto"/>
        <w:rPr>
          <w:rFonts w:asciiTheme="majorHAnsi" w:eastAsiaTheme="majorEastAsia" w:hAnsiTheme="majorHAnsi" w:cstheme="majorBidi"/>
          <w:color w:val="2E74B5" w:themeColor="accent1" w:themeShade="BF"/>
          <w:sz w:val="26"/>
          <w:szCs w:val="26"/>
        </w:rPr>
      </w:pPr>
      <w:r>
        <w:br w:type="page"/>
      </w:r>
    </w:p>
    <w:p w14:paraId="271DA0F9" w14:textId="16B6A8B0" w:rsidR="00F65C21" w:rsidRPr="00555484" w:rsidRDefault="003A047F" w:rsidP="00916421">
      <w:pPr>
        <w:pStyle w:val="Kop2"/>
      </w:pPr>
      <w:bookmarkStart w:id="4" w:name="_Toc499119284"/>
      <w:r w:rsidRPr="00555484">
        <w:lastRenderedPageBreak/>
        <w:t>U</w:t>
      </w:r>
      <w:r w:rsidR="00AE71A8" w:rsidRPr="00555484">
        <w:t>itsluiting</w:t>
      </w:r>
      <w:r w:rsidRPr="00555484">
        <w:t xml:space="preserve"> </w:t>
      </w:r>
      <w:r w:rsidR="00AE71A8" w:rsidRPr="00555484">
        <w:t xml:space="preserve">sectoren </w:t>
      </w:r>
      <w:r w:rsidRPr="00555484">
        <w:t>omwille van Fossil Free – karakter</w:t>
      </w:r>
      <w:r w:rsidR="00AE71A8" w:rsidRPr="00555484">
        <w:t xml:space="preserve"> (actieve divestment)</w:t>
      </w:r>
      <w:r w:rsidRPr="00555484">
        <w:t>:</w:t>
      </w:r>
      <w:bookmarkEnd w:id="4"/>
    </w:p>
    <w:p w14:paraId="4E2167E3" w14:textId="77777777" w:rsidR="00D861C9" w:rsidRDefault="00D861C9" w:rsidP="00F65C21"/>
    <w:p w14:paraId="14047765" w14:textId="4CDF7E4E" w:rsidR="00D861C9" w:rsidRDefault="00D861C9" w:rsidP="00EC3DD1">
      <w:pPr>
        <w:pStyle w:val="Lijstalinea"/>
        <w:numPr>
          <w:ilvl w:val="0"/>
          <w:numId w:val="12"/>
        </w:numPr>
        <w:jc w:val="both"/>
      </w:pPr>
      <w:r>
        <w:t xml:space="preserve">Uitsluiting van de </w:t>
      </w:r>
      <w:r w:rsidR="00EC3DD1">
        <w:t>bedrijven die voorkomen op de Carbon Underground 200 companies list, zoals gepubliceerd door de FFI (Fossil Free Indexes).</w:t>
      </w:r>
    </w:p>
    <w:p w14:paraId="34FD4A1C" w14:textId="05FC9E3A" w:rsidR="00EC3DD1" w:rsidRDefault="00EC3DD1" w:rsidP="00EC3DD1">
      <w:pPr>
        <w:pStyle w:val="Lijstalinea"/>
        <w:numPr>
          <w:ilvl w:val="0"/>
          <w:numId w:val="12"/>
        </w:numPr>
        <w:jc w:val="both"/>
      </w:pPr>
      <w:r>
        <w:t xml:space="preserve">Uitsluiting van </w:t>
      </w:r>
      <w:r w:rsidR="00F65C21">
        <w:t>bedrijven met fossiele brandstofreserves.</w:t>
      </w:r>
    </w:p>
    <w:p w14:paraId="147C7F54" w14:textId="4AE5A08E" w:rsidR="00F65C21" w:rsidRDefault="00F65C21" w:rsidP="00F65C21">
      <w:pPr>
        <w:pStyle w:val="Lijstalinea"/>
        <w:numPr>
          <w:ilvl w:val="0"/>
          <w:numId w:val="12"/>
        </w:numPr>
        <w:jc w:val="both"/>
        <w:rPr>
          <w:lang w:val="nl-BE"/>
        </w:rPr>
      </w:pPr>
      <w:r w:rsidRPr="00F65C21">
        <w:rPr>
          <w:lang w:val="nl-BE"/>
        </w:rPr>
        <w:t>Uitsluiting van bedrijven die zoeken naar kolen, olie en gas of ze</w:t>
      </w:r>
      <w:r>
        <w:rPr>
          <w:lang w:val="nl-BE"/>
        </w:rPr>
        <w:t xml:space="preserve"> boven halen</w:t>
      </w:r>
      <w:r w:rsidRPr="00F65C21">
        <w:rPr>
          <w:lang w:val="nl-BE"/>
        </w:rPr>
        <w:t xml:space="preserve">, </w:t>
      </w:r>
      <w:r>
        <w:rPr>
          <w:lang w:val="nl-BE"/>
        </w:rPr>
        <w:t>behandelen, raffineren of vervoeren.</w:t>
      </w:r>
    </w:p>
    <w:p w14:paraId="664D324A" w14:textId="7B0A6874" w:rsidR="00F65C21" w:rsidRDefault="00F65C21" w:rsidP="00F65C21">
      <w:pPr>
        <w:pStyle w:val="Lijstalinea"/>
        <w:numPr>
          <w:ilvl w:val="0"/>
          <w:numId w:val="12"/>
        </w:numPr>
        <w:jc w:val="both"/>
        <w:rPr>
          <w:lang w:val="nl-BE"/>
        </w:rPr>
      </w:pPr>
      <w:r w:rsidRPr="00F65C21">
        <w:rPr>
          <w:lang w:val="nl-BE"/>
        </w:rPr>
        <w:t>Uitsluiting van bedrijven die investeren in utilities die fossiele brandstoffen gebruiken om ele</w:t>
      </w:r>
      <w:r>
        <w:rPr>
          <w:lang w:val="nl-BE"/>
        </w:rPr>
        <w:t>k</w:t>
      </w:r>
      <w:r w:rsidRPr="00F65C21">
        <w:rPr>
          <w:lang w:val="nl-BE"/>
        </w:rPr>
        <w:t xml:space="preserve">triciteit </w:t>
      </w:r>
      <w:r>
        <w:rPr>
          <w:lang w:val="nl-BE"/>
        </w:rPr>
        <w:t>te produceren.</w:t>
      </w:r>
    </w:p>
    <w:p w14:paraId="5956218A" w14:textId="5A5846C7" w:rsidR="003A047F" w:rsidRDefault="003A047F" w:rsidP="003A047F">
      <w:pPr>
        <w:jc w:val="both"/>
        <w:rPr>
          <w:lang w:val="nl-BE"/>
        </w:rPr>
      </w:pPr>
    </w:p>
    <w:p w14:paraId="07A03350" w14:textId="559C1BBD" w:rsidR="003A047F" w:rsidRDefault="003A047F" w:rsidP="003A047F">
      <w:pPr>
        <w:jc w:val="both"/>
        <w:rPr>
          <w:lang w:val="nl-BE"/>
        </w:rPr>
      </w:pPr>
    </w:p>
    <w:p w14:paraId="08262679" w14:textId="7820B322" w:rsidR="003A047F" w:rsidRPr="00F65C21" w:rsidRDefault="005051E6" w:rsidP="00916421">
      <w:pPr>
        <w:pStyle w:val="Kop2"/>
      </w:pPr>
      <w:bookmarkStart w:id="5" w:name="_Toc499119285"/>
      <w:r>
        <w:t>SRI – CO</w:t>
      </w:r>
      <w:r w:rsidR="003E2C3A" w:rsidRPr="003E2C3A">
        <w:rPr>
          <w:vertAlign w:val="subscript"/>
        </w:rPr>
        <w:t>2</w:t>
      </w:r>
      <w:r>
        <w:t>-afdruk</w:t>
      </w:r>
      <w:r w:rsidR="003A047F">
        <w:t>:</w:t>
      </w:r>
      <w:bookmarkEnd w:id="5"/>
    </w:p>
    <w:p w14:paraId="60E0FC8C" w14:textId="77777777" w:rsidR="003A047F" w:rsidRPr="003A047F" w:rsidRDefault="003A047F" w:rsidP="003A047F">
      <w:pPr>
        <w:jc w:val="both"/>
      </w:pPr>
    </w:p>
    <w:p w14:paraId="31A70765" w14:textId="23C8CAFD" w:rsidR="003A047F" w:rsidRDefault="00D861C9" w:rsidP="003A047F">
      <w:pPr>
        <w:pStyle w:val="Lijstalinea"/>
        <w:numPr>
          <w:ilvl w:val="0"/>
          <w:numId w:val="12"/>
        </w:numPr>
        <w:jc w:val="both"/>
      </w:pPr>
      <w:r>
        <w:t>H</w:t>
      </w:r>
      <w:r w:rsidR="009C72BC">
        <w:t>et rekening houden met de ecologische, sociale en governance criteria (ESG / SRI), bij het nemen van beleggingsbeslissingen.</w:t>
      </w:r>
      <w:r>
        <w:t xml:space="preserve"> Dit kan op meerdere manieren</w:t>
      </w:r>
      <w:r w:rsidR="003A047F">
        <w:t xml:space="preserve"> gebeuren, waaronder de Best-in-</w:t>
      </w:r>
      <w:r>
        <w:t>Class</w:t>
      </w:r>
      <w:r w:rsidR="003A047F">
        <w:t xml:space="preserve">. Per asset-class dient een aangepast (en door de UGent aanvaard) percentage (de </w:t>
      </w:r>
      <w:commentRangeStart w:id="6"/>
      <w:r w:rsidR="003A047F">
        <w:t>….</w:t>
      </w:r>
      <w:commentRangeEnd w:id="6"/>
      <w:r w:rsidR="00B95FBC">
        <w:rPr>
          <w:rStyle w:val="Verwijzingopmerking"/>
        </w:rPr>
        <w:commentReference w:id="6"/>
      </w:r>
      <w:r w:rsidR="003A047F">
        <w:t xml:space="preserve"> % Best-in-Class) te worden gehanteerd die duurzaamheid garandeert.</w:t>
      </w:r>
    </w:p>
    <w:p w14:paraId="7FB21F50" w14:textId="77777777" w:rsidR="003A047F" w:rsidRDefault="003A047F" w:rsidP="003A047F">
      <w:pPr>
        <w:pStyle w:val="Lijstalinea"/>
        <w:jc w:val="both"/>
      </w:pPr>
    </w:p>
    <w:p w14:paraId="5EF8FF0F" w14:textId="64666B79" w:rsidR="003A047F" w:rsidRDefault="003A047F" w:rsidP="003A047F">
      <w:pPr>
        <w:pStyle w:val="Lijstalinea"/>
        <w:jc w:val="both"/>
      </w:pPr>
      <w:r>
        <w:t>De SRI geldt zowel voor de landen (in het kader van obligaties) als voor bedrijven.</w:t>
      </w:r>
    </w:p>
    <w:p w14:paraId="4835E36A" w14:textId="382B359B" w:rsidR="003A047F" w:rsidRDefault="003A047F" w:rsidP="003A047F">
      <w:pPr>
        <w:pStyle w:val="Lijstalinea"/>
        <w:jc w:val="both"/>
      </w:pPr>
      <w:r>
        <w:t xml:space="preserve">De criteria moeten zowel op macro-economisch als micoro-economisch vlak worden getoetst. </w:t>
      </w:r>
    </w:p>
    <w:p w14:paraId="1914C2AF" w14:textId="77777777" w:rsidR="003A047F" w:rsidRDefault="003A047F" w:rsidP="003A047F">
      <w:pPr>
        <w:pStyle w:val="Lijstalinea"/>
        <w:jc w:val="both"/>
      </w:pPr>
    </w:p>
    <w:p w14:paraId="479EE6D2" w14:textId="52BE1B02" w:rsidR="00E62A95" w:rsidRDefault="00E62A95" w:rsidP="00EC3DD1">
      <w:pPr>
        <w:jc w:val="both"/>
      </w:pPr>
    </w:p>
    <w:p w14:paraId="6D75A32F" w14:textId="579D6760" w:rsidR="00AE71A8" w:rsidRDefault="005051E6" w:rsidP="0067138A">
      <w:pPr>
        <w:pStyle w:val="Lijstalinea"/>
        <w:numPr>
          <w:ilvl w:val="0"/>
          <w:numId w:val="12"/>
        </w:numPr>
        <w:jc w:val="both"/>
      </w:pPr>
      <w:r>
        <w:t>Naast het instrument ‘Fossil Free’ dient de portefeuille in haar algemeenheid ook de energie-effici</w:t>
      </w:r>
      <w:r w:rsidR="006B237B">
        <w:t>ëntste bedrijven en/of de bedrijven die het meest werk maken van het zo klein mogelijk maken van de CO</w:t>
      </w:r>
      <w:r w:rsidR="003E4CCB" w:rsidRPr="003E4CCB">
        <w:rPr>
          <w:vertAlign w:val="subscript"/>
        </w:rPr>
        <w:t>2</w:t>
      </w:r>
      <w:r w:rsidR="006B237B">
        <w:t xml:space="preserve"> afdruk, te selecteren. Deze selectie moet auditeerbaar zijn.</w:t>
      </w:r>
    </w:p>
    <w:p w14:paraId="1D613234" w14:textId="78FB13CB" w:rsidR="006B237B" w:rsidRDefault="006B237B" w:rsidP="006B237B">
      <w:pPr>
        <w:pStyle w:val="Lijstalinea"/>
        <w:jc w:val="both"/>
      </w:pPr>
    </w:p>
    <w:p w14:paraId="53335366" w14:textId="77777777" w:rsidR="003E4CCB" w:rsidRDefault="003E4CCB" w:rsidP="006B237B">
      <w:pPr>
        <w:pStyle w:val="Lijstalinea"/>
        <w:jc w:val="both"/>
      </w:pPr>
    </w:p>
    <w:p w14:paraId="24B30CA3" w14:textId="25F98F8C" w:rsidR="00AE71A8" w:rsidRDefault="00AE71A8" w:rsidP="00916421">
      <w:pPr>
        <w:pStyle w:val="Kop2"/>
      </w:pPr>
      <w:bookmarkStart w:id="8" w:name="_Toc499119286"/>
      <w:r>
        <w:t>Insluiting van ‘duurzame en verantwoorde’ thema’s:</w:t>
      </w:r>
      <w:r w:rsidR="009E435F">
        <w:t xml:space="preserve"> (10 % tot 20 % van het aandelen</w:t>
      </w:r>
      <w:r w:rsidR="003E4CCB">
        <w:t>-</w:t>
      </w:r>
      <w:r w:rsidR="009E435F">
        <w:t>gedeelte)</w:t>
      </w:r>
      <w:bookmarkEnd w:id="8"/>
    </w:p>
    <w:p w14:paraId="39C10A96" w14:textId="1AEFB1FA" w:rsidR="00555484" w:rsidRDefault="00555484" w:rsidP="00555484">
      <w:pPr>
        <w:ind w:left="360"/>
        <w:jc w:val="both"/>
        <w:rPr>
          <w:b/>
          <w:i/>
        </w:rPr>
      </w:pPr>
    </w:p>
    <w:p w14:paraId="6E5136B7" w14:textId="38A50F04" w:rsidR="00695B18" w:rsidRDefault="0004530B" w:rsidP="00286E2E">
      <w:pPr>
        <w:pStyle w:val="Kop3"/>
        <w:numPr>
          <w:ilvl w:val="0"/>
          <w:numId w:val="16"/>
        </w:numPr>
        <w:jc w:val="both"/>
      </w:pPr>
      <w:bookmarkStart w:id="9" w:name="_Toc499119287"/>
      <w:r>
        <w:t>Hernieuwbare energie</w:t>
      </w:r>
      <w:bookmarkEnd w:id="9"/>
    </w:p>
    <w:p w14:paraId="2F3DF115" w14:textId="7A51813B" w:rsidR="0004530B" w:rsidRDefault="0004530B" w:rsidP="00286E2E">
      <w:pPr>
        <w:jc w:val="both"/>
      </w:pPr>
    </w:p>
    <w:p w14:paraId="23D79C10" w14:textId="530E2926" w:rsidR="0004530B" w:rsidRDefault="0004530B" w:rsidP="00286E2E">
      <w:pPr>
        <w:ind w:left="360"/>
        <w:jc w:val="both"/>
      </w:pPr>
      <w:r>
        <w:t xml:space="preserve">Met hernieuwbare energie wordt bedoeld de </w:t>
      </w:r>
      <w:r w:rsidRPr="0004530B">
        <w:t>wind, zon, aerothermische</w:t>
      </w:r>
      <w:r>
        <w:t xml:space="preserve"> (w</w:t>
      </w:r>
      <w:r w:rsidR="00286E2E">
        <w:t>armte in om</w:t>
      </w:r>
      <w:r>
        <w:t>gevingslucht)</w:t>
      </w:r>
      <w:r w:rsidRPr="0004530B">
        <w:t>, geothermische</w:t>
      </w:r>
      <w:r>
        <w:t xml:space="preserve"> (warmte onder het aardoppervlak)</w:t>
      </w:r>
      <w:r w:rsidRPr="0004530B">
        <w:t xml:space="preserve">, hydrothermische energie </w:t>
      </w:r>
      <w:r>
        <w:t>(warmte in oppervla</w:t>
      </w:r>
      <w:r w:rsidR="00286E2E">
        <w:t>k</w:t>
      </w:r>
      <w:r>
        <w:t xml:space="preserve">tewater) </w:t>
      </w:r>
      <w:r w:rsidRPr="0004530B">
        <w:t>en energie uit de oceanen, waterkracht, biomassa, stortgas, gas van rioolzuiv</w:t>
      </w:r>
      <w:r>
        <w:t>eringsinstallaties en biogassen.</w:t>
      </w:r>
    </w:p>
    <w:p w14:paraId="7E9BD352" w14:textId="15132F04" w:rsidR="0004530B" w:rsidRDefault="0004530B" w:rsidP="00286E2E">
      <w:pPr>
        <w:ind w:left="360"/>
        <w:jc w:val="both"/>
      </w:pPr>
    </w:p>
    <w:p w14:paraId="1BFF76DC" w14:textId="70AAFF0F" w:rsidR="0004530B" w:rsidRDefault="0004530B" w:rsidP="00286E2E">
      <w:pPr>
        <w:ind w:left="360"/>
        <w:jc w:val="both"/>
      </w:pPr>
      <w:r>
        <w:t xml:space="preserve">Steeds is een </w:t>
      </w:r>
      <w:r w:rsidRPr="0004530B">
        <w:t>“garantie van oorsprong”</w:t>
      </w:r>
      <w:r>
        <w:t xml:space="preserve"> vereist</w:t>
      </w:r>
      <w:r w:rsidRPr="0004530B">
        <w:t>: een elektronisch document dat tot doel heeft aan te tonen dat een bepaald aandeel of een bepaalde hoeveelheid energie geproduceerd is op basis van hernieuwbare bronnen</w:t>
      </w:r>
      <w:r w:rsidR="00286E2E">
        <w:t>.</w:t>
      </w:r>
    </w:p>
    <w:p w14:paraId="51E4503C" w14:textId="718240C4" w:rsidR="00286E2E" w:rsidRDefault="00286E2E" w:rsidP="00286E2E">
      <w:pPr>
        <w:ind w:left="360"/>
        <w:jc w:val="both"/>
      </w:pPr>
    </w:p>
    <w:p w14:paraId="2CFB88EE" w14:textId="7EA31060" w:rsidR="00286E2E" w:rsidRPr="00286E2E" w:rsidRDefault="00286E2E" w:rsidP="00286E2E">
      <w:pPr>
        <w:ind w:left="360"/>
        <w:jc w:val="both"/>
      </w:pPr>
      <w:r>
        <w:lastRenderedPageBreak/>
        <w:t xml:space="preserve">Dit betreft een apart deel van de portefeuille. In dit deel mogen enkel die bedrijven </w:t>
      </w:r>
      <w:r w:rsidR="001B2F10">
        <w:t xml:space="preserve">/ fondsen </w:t>
      </w:r>
      <w:r>
        <w:t xml:space="preserve">worden opgenomen die groene, hernieuwbare energie als hoofdactiviteit hebben of er </w:t>
      </w:r>
      <w:r w:rsidR="00B95FBC">
        <w:t xml:space="preserve">aantoonbaar </w:t>
      </w:r>
      <w:r>
        <w:t>naar toe evolueren</w:t>
      </w:r>
      <w:r w:rsidR="001B2F10">
        <w:t>. Ze kunnen enkel worden toegevoegd  aan de portefeuille na externe screening.</w:t>
      </w:r>
    </w:p>
    <w:p w14:paraId="35FA7C79" w14:textId="5BBE1522" w:rsidR="0004530B" w:rsidRDefault="0004530B" w:rsidP="00286E2E">
      <w:pPr>
        <w:ind w:left="360"/>
        <w:jc w:val="both"/>
      </w:pPr>
    </w:p>
    <w:p w14:paraId="263D942B" w14:textId="77777777" w:rsidR="00A45B92" w:rsidRDefault="00A45B92" w:rsidP="00286E2E">
      <w:pPr>
        <w:ind w:left="360"/>
        <w:jc w:val="both"/>
      </w:pPr>
    </w:p>
    <w:p w14:paraId="5031C4C4" w14:textId="7E56F9DB" w:rsidR="0004530B" w:rsidRDefault="0004530B" w:rsidP="00286E2E">
      <w:pPr>
        <w:pStyle w:val="Kop3"/>
        <w:numPr>
          <w:ilvl w:val="0"/>
          <w:numId w:val="16"/>
        </w:numPr>
        <w:jc w:val="both"/>
      </w:pPr>
      <w:bookmarkStart w:id="10" w:name="_Toc499119288"/>
      <w:r>
        <w:t>Duurzame energie</w:t>
      </w:r>
      <w:bookmarkEnd w:id="10"/>
    </w:p>
    <w:p w14:paraId="69BC4A5B" w14:textId="19B3B803" w:rsidR="0004530B" w:rsidRDefault="0004530B" w:rsidP="00286E2E">
      <w:pPr>
        <w:jc w:val="both"/>
      </w:pPr>
    </w:p>
    <w:p w14:paraId="1EA71678" w14:textId="59A069B5" w:rsidR="0004530B" w:rsidRDefault="0004530B" w:rsidP="00286E2E">
      <w:pPr>
        <w:ind w:left="360"/>
        <w:jc w:val="both"/>
      </w:pPr>
      <w:r>
        <w:t xml:space="preserve">Het is een gegeven dat niet alle hernieuwbare energie ook ‘groen’ of ‘duurzaam’ is. De factor energie die uit de hernieuwbare energie komt moet voldoende hoog zijn ten opzichte van de </w:t>
      </w:r>
      <w:r w:rsidR="00286E2E">
        <w:t>energie d</w:t>
      </w:r>
      <w:r w:rsidR="003E4CCB">
        <w:t>ie er ingestoken wordt en de CO</w:t>
      </w:r>
      <w:r w:rsidR="003E4CCB" w:rsidRPr="003E4CCB">
        <w:rPr>
          <w:vertAlign w:val="subscript"/>
        </w:rPr>
        <w:t>2</w:t>
      </w:r>
      <w:r w:rsidR="00286E2E">
        <w:t xml:space="preserve"> afdruk voldoende klein. Het is aan de portefeuillebeheerder om dit aan te tonen.</w:t>
      </w:r>
      <w:r w:rsidR="008450BB">
        <w:t xml:space="preserve"> </w:t>
      </w:r>
    </w:p>
    <w:p w14:paraId="76530B0F" w14:textId="47866494" w:rsidR="0004530B" w:rsidRDefault="0004530B" w:rsidP="0004530B">
      <w:pPr>
        <w:ind w:left="360"/>
      </w:pPr>
    </w:p>
    <w:p w14:paraId="09CD6533" w14:textId="77777777" w:rsidR="00A45B92" w:rsidRDefault="00A45B92" w:rsidP="0004530B">
      <w:pPr>
        <w:ind w:left="360"/>
      </w:pPr>
    </w:p>
    <w:p w14:paraId="31DC3326" w14:textId="2FD556F8" w:rsidR="0004530B" w:rsidRDefault="0004530B" w:rsidP="0004530B">
      <w:pPr>
        <w:pStyle w:val="Kop3"/>
        <w:numPr>
          <w:ilvl w:val="0"/>
          <w:numId w:val="16"/>
        </w:numPr>
      </w:pPr>
      <w:bookmarkStart w:id="11" w:name="_Toc499119289"/>
      <w:r>
        <w:t>Opslag van energie</w:t>
      </w:r>
      <w:bookmarkEnd w:id="11"/>
    </w:p>
    <w:p w14:paraId="26762204" w14:textId="16A0F016" w:rsidR="0004530B" w:rsidRDefault="0004530B" w:rsidP="0004530B"/>
    <w:p w14:paraId="2A84F8F1" w14:textId="050BAB5F" w:rsidR="009E435F" w:rsidRDefault="001B2F10" w:rsidP="008450BB">
      <w:pPr>
        <w:ind w:left="360"/>
        <w:jc w:val="both"/>
      </w:pPr>
      <w:r>
        <w:t xml:space="preserve">Eén van de belangrijkste uitdagingen wordt het opslaan van duurzame energie, zodat ze minder afhankelijk is van de omstandigheden en </w:t>
      </w:r>
      <w:r w:rsidR="009E435F">
        <w:t>er</w:t>
      </w:r>
      <w:r w:rsidR="003E4CCB">
        <w:t xml:space="preserve"> minder noodzaak is aan niet-du</w:t>
      </w:r>
      <w:r w:rsidR="009E435F">
        <w:t>urzame energie enkel en alleen omdat er daar stroomgarantie is.</w:t>
      </w:r>
    </w:p>
    <w:p w14:paraId="13C4927C" w14:textId="0CC244C1" w:rsidR="001B2F10" w:rsidRDefault="001B2F10" w:rsidP="009E435F">
      <w:pPr>
        <w:ind w:left="360"/>
        <w:jc w:val="both"/>
      </w:pPr>
    </w:p>
    <w:p w14:paraId="13D45D8F" w14:textId="77777777" w:rsidR="001B2F10" w:rsidRDefault="001B2F10" w:rsidP="001B2F10">
      <w:pPr>
        <w:ind w:left="360"/>
      </w:pPr>
    </w:p>
    <w:p w14:paraId="388C7DDC" w14:textId="5BB873AA" w:rsidR="0004530B" w:rsidRPr="0004530B" w:rsidRDefault="0004530B" w:rsidP="0004530B">
      <w:pPr>
        <w:pStyle w:val="Kop3"/>
        <w:numPr>
          <w:ilvl w:val="0"/>
          <w:numId w:val="16"/>
        </w:numPr>
      </w:pPr>
      <w:bookmarkStart w:id="12" w:name="_Toc499119290"/>
      <w:r>
        <w:t>Circulaire economie</w:t>
      </w:r>
      <w:bookmarkEnd w:id="12"/>
    </w:p>
    <w:p w14:paraId="64CF2AE6" w14:textId="03EEA64D" w:rsidR="00695B18" w:rsidRDefault="00695B18" w:rsidP="00E62A95">
      <w:pPr>
        <w:jc w:val="both"/>
      </w:pPr>
    </w:p>
    <w:p w14:paraId="756E7E7C" w14:textId="1B9B6FFA" w:rsidR="009E435F" w:rsidRDefault="009E435F" w:rsidP="009E435F">
      <w:pPr>
        <w:ind w:left="360"/>
        <w:jc w:val="both"/>
      </w:pPr>
      <w:r w:rsidRPr="009E435F">
        <w:t xml:space="preserve">In de circulaire economie </w:t>
      </w:r>
      <w:r>
        <w:t xml:space="preserve">wordt efficiënter omgegaan </w:t>
      </w:r>
      <w:r w:rsidRPr="009E435F">
        <w:t>met grondstoffen, materialen, energie, water, ruimte en voedsel door kringlopen te sluiten. Natuurlijke hulpbronnen worden zo veel mogelijk hergebruikt.</w:t>
      </w:r>
    </w:p>
    <w:p w14:paraId="3523975F" w14:textId="1C134388" w:rsidR="00A45B92" w:rsidRDefault="00A45B92" w:rsidP="009E435F">
      <w:pPr>
        <w:ind w:left="360"/>
        <w:jc w:val="both"/>
      </w:pPr>
    </w:p>
    <w:p w14:paraId="2A127433" w14:textId="3BA5103E" w:rsidR="00A45B92" w:rsidRDefault="00A45B92" w:rsidP="009E435F">
      <w:pPr>
        <w:ind w:left="360"/>
        <w:jc w:val="both"/>
      </w:pPr>
      <w:r>
        <w:t>Investeringen in de circulaire economie kunnen via de portefeuille aangemoedigd worden.</w:t>
      </w:r>
    </w:p>
    <w:p w14:paraId="4162C5D9" w14:textId="0A462524" w:rsidR="009E435F" w:rsidRDefault="009E435F" w:rsidP="009E435F">
      <w:pPr>
        <w:ind w:left="360"/>
        <w:jc w:val="both"/>
      </w:pPr>
    </w:p>
    <w:p w14:paraId="400B9924" w14:textId="77777777" w:rsidR="00A45B92" w:rsidRDefault="00A45B92" w:rsidP="009E435F">
      <w:pPr>
        <w:ind w:left="360"/>
        <w:jc w:val="both"/>
      </w:pPr>
    </w:p>
    <w:p w14:paraId="1AA2221C" w14:textId="6A916AEE" w:rsidR="009E435F" w:rsidRDefault="009E435F" w:rsidP="009E435F">
      <w:pPr>
        <w:pStyle w:val="Kop3"/>
        <w:numPr>
          <w:ilvl w:val="0"/>
          <w:numId w:val="16"/>
        </w:numPr>
      </w:pPr>
      <w:bookmarkStart w:id="13" w:name="_Toc499119291"/>
      <w:r>
        <w:t>Overige</w:t>
      </w:r>
      <w:bookmarkEnd w:id="13"/>
    </w:p>
    <w:p w14:paraId="67C00B05" w14:textId="5F0720F6" w:rsidR="00A45B92" w:rsidRDefault="00A45B92" w:rsidP="00A45B92"/>
    <w:p w14:paraId="38096A2E" w14:textId="77777777" w:rsidR="003E4CCB" w:rsidRDefault="00A45B92" w:rsidP="00A45B92">
      <w:pPr>
        <w:ind w:left="360"/>
      </w:pPr>
      <w:r>
        <w:t>Ook andere duurzame en verantwoorde thema’s kunnen</w:t>
      </w:r>
      <w:r w:rsidR="003E4CCB">
        <w:t xml:space="preserve"> toegevoegd aan de portefeuille, voor zover ze zijn goedgekeurd door de UGent.</w:t>
      </w:r>
    </w:p>
    <w:p w14:paraId="2F88649F" w14:textId="4AF1C46D" w:rsidR="00A45B92" w:rsidRDefault="00A45B92" w:rsidP="00A45B92">
      <w:pPr>
        <w:ind w:left="360"/>
      </w:pPr>
      <w:r>
        <w:t xml:space="preserve"> </w:t>
      </w:r>
    </w:p>
    <w:p w14:paraId="6A47AC60" w14:textId="77777777" w:rsidR="003E4CCB" w:rsidRPr="00A45B92" w:rsidRDefault="003E4CCB" w:rsidP="00A45B92">
      <w:pPr>
        <w:ind w:left="360"/>
      </w:pPr>
    </w:p>
    <w:p w14:paraId="1C5B0410" w14:textId="54936798" w:rsidR="00916421" w:rsidRDefault="00916421" w:rsidP="00916421">
      <w:pPr>
        <w:pStyle w:val="Kop2"/>
      </w:pPr>
      <w:bookmarkStart w:id="14" w:name="_Toc499119292"/>
      <w:r>
        <w:t>Duurzaamheid ‘Portefeuillebeheerder’:</w:t>
      </w:r>
      <w:bookmarkEnd w:id="14"/>
    </w:p>
    <w:p w14:paraId="35FA071D" w14:textId="2ADF19C2" w:rsidR="00916421" w:rsidRDefault="00916421" w:rsidP="00916421">
      <w:pPr>
        <w:jc w:val="both"/>
        <w:rPr>
          <w:b/>
          <w:i/>
        </w:rPr>
      </w:pPr>
    </w:p>
    <w:p w14:paraId="4BEBE2F8" w14:textId="1397DB49" w:rsidR="00916421" w:rsidRPr="00916421" w:rsidRDefault="00916421" w:rsidP="00916421">
      <w:pPr>
        <w:pStyle w:val="Lijstalinea"/>
        <w:numPr>
          <w:ilvl w:val="0"/>
          <w:numId w:val="12"/>
        </w:numPr>
        <w:jc w:val="both"/>
        <w:rPr>
          <w:b/>
          <w:i/>
        </w:rPr>
      </w:pPr>
      <w:r>
        <w:t>De Universiteit Gent wenst met haar integrale duurzame en verantwoorde beleggingsportefeuille ook de portefeuillebeheerder zelf te (laten) screenen en na te gaan in welke mate de beheerder een transitie naar duurzaam en verantwoord beleggen ondersteunt en in hoeverre dat ze in haar organisatie en beleggingspolitiek de principes ervan doortrekt.</w:t>
      </w:r>
    </w:p>
    <w:p w14:paraId="43C4285B" w14:textId="77777777" w:rsidR="00916421" w:rsidRPr="00916421" w:rsidRDefault="00916421" w:rsidP="00916421">
      <w:pPr>
        <w:pStyle w:val="Lijstalinea"/>
        <w:jc w:val="both"/>
        <w:rPr>
          <w:b/>
          <w:i/>
        </w:rPr>
      </w:pPr>
    </w:p>
    <w:p w14:paraId="2C63AB80" w14:textId="15F3418B" w:rsidR="00916421" w:rsidRPr="00916421" w:rsidRDefault="00916421" w:rsidP="00916421">
      <w:pPr>
        <w:pStyle w:val="Lijstalinea"/>
        <w:numPr>
          <w:ilvl w:val="0"/>
          <w:numId w:val="12"/>
        </w:numPr>
        <w:jc w:val="both"/>
        <w:rPr>
          <w:b/>
          <w:i/>
        </w:rPr>
      </w:pPr>
      <w:r>
        <w:lastRenderedPageBreak/>
        <w:t>Aan de beheerder wordt gevraagd jaarlijks te rapporteren over de gevoerde politiek inzake beleggingen en de eigen organisatie. Het gaat niet alleen over het luik ‘duurzame’ beleggingen, maar over het totaal van beheerde middelen.</w:t>
      </w:r>
    </w:p>
    <w:p w14:paraId="091FDC86" w14:textId="5AF07F3A" w:rsidR="00916421" w:rsidRDefault="00916421" w:rsidP="00E62A95">
      <w:pPr>
        <w:jc w:val="both"/>
      </w:pPr>
    </w:p>
    <w:p w14:paraId="574DAF42" w14:textId="77777777" w:rsidR="00A45B92" w:rsidRDefault="00A45B92" w:rsidP="00E62A95">
      <w:pPr>
        <w:jc w:val="both"/>
      </w:pPr>
    </w:p>
    <w:p w14:paraId="578C6B5D" w14:textId="77777777" w:rsidR="003E4CCB" w:rsidRDefault="003E4CCB">
      <w:pPr>
        <w:spacing w:after="160" w:line="259" w:lineRule="auto"/>
        <w:rPr>
          <w:rFonts w:asciiTheme="majorHAnsi" w:eastAsiaTheme="majorEastAsia" w:hAnsiTheme="majorHAnsi" w:cstheme="majorBidi"/>
          <w:color w:val="2E74B5" w:themeColor="accent1" w:themeShade="BF"/>
          <w:sz w:val="32"/>
          <w:szCs w:val="32"/>
        </w:rPr>
      </w:pPr>
      <w:r>
        <w:br w:type="page"/>
      </w:r>
    </w:p>
    <w:p w14:paraId="02900371" w14:textId="2C80781B" w:rsidR="00695B18" w:rsidRDefault="006B237B" w:rsidP="00695B18">
      <w:pPr>
        <w:pStyle w:val="Kop1"/>
      </w:pPr>
      <w:bookmarkStart w:id="15" w:name="_Toc499119293"/>
      <w:r>
        <w:lastRenderedPageBreak/>
        <w:t>3</w:t>
      </w:r>
      <w:r w:rsidR="00695B18" w:rsidRPr="00D878DC">
        <w:t xml:space="preserve">. </w:t>
      </w:r>
      <w:r w:rsidR="00A45B92">
        <w:t>Behalen en</w:t>
      </w:r>
      <w:r w:rsidR="00695B18">
        <w:t xml:space="preserve"> naleving van de </w:t>
      </w:r>
      <w:r w:rsidR="00A45B92">
        <w:t>duurzaamheids</w:t>
      </w:r>
      <w:r w:rsidR="00695B18">
        <w:t>doelstellingen.</w:t>
      </w:r>
      <w:bookmarkEnd w:id="15"/>
    </w:p>
    <w:p w14:paraId="4433E702" w14:textId="419F95C2" w:rsidR="00695B18" w:rsidRDefault="00695B18" w:rsidP="00E62A95">
      <w:pPr>
        <w:jc w:val="both"/>
      </w:pPr>
    </w:p>
    <w:p w14:paraId="2241090C" w14:textId="2E301667" w:rsidR="00A45B92" w:rsidRDefault="00A45B92" w:rsidP="00E62A95">
      <w:pPr>
        <w:jc w:val="both"/>
      </w:pPr>
      <w:r>
        <w:t>De Commissie ‘Duurzaam Beleggen’ zal regelmatig geïnformeerd worden door de portefeuillebeheerder over zowel evoluties binnen de portefeuille als over de acties die de beheerder voorziet om de duurzaamheid van de portefeuille te vergroten.</w:t>
      </w:r>
    </w:p>
    <w:p w14:paraId="05D83761" w14:textId="49D7CA1F" w:rsidR="00A45B92" w:rsidRDefault="00A45B92" w:rsidP="00E62A95">
      <w:pPr>
        <w:jc w:val="both"/>
      </w:pPr>
    </w:p>
    <w:p w14:paraId="7671D75B" w14:textId="7C0151E2" w:rsidR="00A45B92" w:rsidRDefault="00A45B92" w:rsidP="00E62A95">
      <w:pPr>
        <w:jc w:val="both"/>
      </w:pPr>
      <w:r>
        <w:t>Als blijkt dat het ambitieniveau van de portefeuillebeheerder niet voldoende in overeenstemming is met die van de Universiteit Gent, kan de Commissie ‘Duurzaam Beleggen’ aan de Raad van Bestuur een (gedeeltelijke) stopzetting van de portefeuille vragen.</w:t>
      </w:r>
    </w:p>
    <w:p w14:paraId="59AF4F59" w14:textId="5DD0344B" w:rsidR="00A45B92" w:rsidRDefault="00A45B92" w:rsidP="00E62A95">
      <w:pPr>
        <w:jc w:val="both"/>
      </w:pPr>
    </w:p>
    <w:p w14:paraId="177309A0" w14:textId="741DC9CE" w:rsidR="00A45B92" w:rsidRDefault="00A45B92" w:rsidP="00E62A95">
      <w:pPr>
        <w:jc w:val="both"/>
      </w:pPr>
      <w:r>
        <w:t>De Universiteit Gent wenst een actieve relatie op te bouwen met de portefeuillebeheerders. Dit betekent dat ze verwacht dat de beheerder pro-actief in gesprek gaat met de UGent; actief meedenkt aan wenselijke evoluties en veranderingen</w:t>
      </w:r>
      <w:r w:rsidR="009476D1">
        <w:t xml:space="preserve"> en voorstellen formuleert en uitvoert. De UGent verwacht hierbij een samenwerking ‘op maat’, waarbij enkel standaard producten worden aangeboden als ze volledig tegemoet komen aan het ‘duurzaam en verantwoord’ beleggen.</w:t>
      </w:r>
    </w:p>
    <w:p w14:paraId="070426EF" w14:textId="327F23BA" w:rsidR="009476D1" w:rsidRDefault="009476D1" w:rsidP="00E62A95">
      <w:pPr>
        <w:jc w:val="both"/>
      </w:pPr>
    </w:p>
    <w:p w14:paraId="528A62C6" w14:textId="54FD70BF" w:rsidR="009476D1" w:rsidRDefault="009476D1" w:rsidP="00E62A95">
      <w:pPr>
        <w:jc w:val="both"/>
      </w:pPr>
    </w:p>
    <w:p w14:paraId="19DB3644" w14:textId="0056DD05" w:rsidR="009476D1" w:rsidRDefault="009476D1" w:rsidP="00E62A95">
      <w:pPr>
        <w:jc w:val="both"/>
      </w:pPr>
    </w:p>
    <w:p w14:paraId="0872E4F5" w14:textId="489406E2" w:rsidR="009476D1" w:rsidRDefault="009476D1" w:rsidP="009476D1">
      <w:pPr>
        <w:pStyle w:val="Kop1"/>
      </w:pPr>
      <w:bookmarkStart w:id="16" w:name="_Toc499119294"/>
      <w:r>
        <w:t>4</w:t>
      </w:r>
      <w:r w:rsidRPr="00D878DC">
        <w:t xml:space="preserve">. </w:t>
      </w:r>
      <w:r>
        <w:t>Interne en externe controle op de portefeuille.</w:t>
      </w:r>
      <w:bookmarkEnd w:id="16"/>
    </w:p>
    <w:p w14:paraId="1F69AF42" w14:textId="4FEAC710" w:rsidR="009476D1" w:rsidRDefault="009476D1" w:rsidP="00E62A95">
      <w:pPr>
        <w:jc w:val="both"/>
      </w:pPr>
    </w:p>
    <w:p w14:paraId="7CE3A40C" w14:textId="31902C06" w:rsidR="009476D1" w:rsidRDefault="009476D1" w:rsidP="00E62A95">
      <w:pPr>
        <w:jc w:val="both"/>
      </w:pPr>
      <w:r>
        <w:t>De naleving toetsen is geen eenvoudige opdracht. Niet alleen veranderen de marktomstandigheden en sentimenten soms, waardoor snel actie moet kunnen worden genomen, maar de beleggingsfondsen op zich bevatten ook een veelheid aan aandelen die aangekocht en verkocht worden en waar het niet eenvoudig is te achterhalen of deze fondsen op ieder moment  voldoet aan de wensen van de Universiteit Gent.</w:t>
      </w:r>
    </w:p>
    <w:p w14:paraId="02F5B7AD" w14:textId="789D655C" w:rsidR="009476D1" w:rsidRDefault="009476D1" w:rsidP="00E62A95">
      <w:pPr>
        <w:jc w:val="both"/>
      </w:pPr>
    </w:p>
    <w:p w14:paraId="494683EA" w14:textId="163C4008" w:rsidR="009476D1" w:rsidRDefault="009476D1" w:rsidP="00E62A95">
      <w:pPr>
        <w:jc w:val="both"/>
      </w:pPr>
      <w:r>
        <w:t>Daarom vraag de UGent aan haar beheerders om zowel een interne als externe controle te organiseren die toelaat dat op een eenvoudige en transparante manier gerapporteerd wordt over de duurzaamheid van de verschillende portefeuilles</w:t>
      </w:r>
      <w:r w:rsidR="008450BB">
        <w:t>.</w:t>
      </w:r>
    </w:p>
    <w:p w14:paraId="20712470" w14:textId="1C85AA2B" w:rsidR="008450BB" w:rsidRDefault="008450BB" w:rsidP="00E62A95">
      <w:pPr>
        <w:jc w:val="both"/>
      </w:pPr>
    </w:p>
    <w:p w14:paraId="4EDDE3CD" w14:textId="0245276E" w:rsidR="008450BB" w:rsidRDefault="008450BB" w:rsidP="00E62A95">
      <w:pPr>
        <w:jc w:val="both"/>
      </w:pPr>
      <w:r>
        <w:t>De Universiteit legt hier geen controlesysteem op en laat de beheerder de vrijheid om zelf te kiezen welke interne en externe controles er kunnen. Wel heeft de UGent de mogelijkheid om bijsturingen te vragen als blijkt dat de controles onvoldoende zekerheid geven op een volledige transparantie en garantie op naleving van de duurzaamheidsprincipes.</w:t>
      </w:r>
    </w:p>
    <w:sectPr w:rsidR="008450BB">
      <w:footerReference w:type="default" r:id="rId13"/>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Jeroen Vanden Berghe" w:date="2017-11-22T17:09:00Z" w:initials="JVB">
    <w:p w14:paraId="67211874" w14:textId="77FCBB60" w:rsidR="00B95FBC" w:rsidRDefault="00B95FBC">
      <w:pPr>
        <w:pStyle w:val="Tekstopmerking"/>
      </w:pPr>
      <w:bookmarkStart w:id="7" w:name="_GoBack"/>
      <w:bookmarkEnd w:id="7"/>
      <w:r>
        <w:rPr>
          <w:rStyle w:val="Verwijzingopmerking"/>
        </w:rPr>
        <w:annotationRef/>
      </w:r>
      <w:r>
        <w:t>Nog niet ingevuld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721187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A96CF3" w14:textId="77777777" w:rsidR="00ED4138" w:rsidRDefault="00ED4138" w:rsidP="002A74D1">
      <w:r>
        <w:separator/>
      </w:r>
    </w:p>
  </w:endnote>
  <w:endnote w:type="continuationSeparator" w:id="0">
    <w:p w14:paraId="6BC575EC" w14:textId="77777777" w:rsidR="00ED4138" w:rsidRDefault="00ED4138" w:rsidP="002A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5464629"/>
      <w:docPartObj>
        <w:docPartGallery w:val="Page Numbers (Bottom of Page)"/>
        <w:docPartUnique/>
      </w:docPartObj>
    </w:sdtPr>
    <w:sdtEndPr/>
    <w:sdtContent>
      <w:p w14:paraId="6B06757C" w14:textId="2C27C9A3" w:rsidR="00AE71A8" w:rsidRDefault="00AE71A8">
        <w:pPr>
          <w:pStyle w:val="Voettekst"/>
          <w:jc w:val="right"/>
        </w:pPr>
        <w:r>
          <w:fldChar w:fldCharType="begin"/>
        </w:r>
        <w:r>
          <w:instrText>PAGE   \* MERGEFORMAT</w:instrText>
        </w:r>
        <w:r>
          <w:fldChar w:fldCharType="separate"/>
        </w:r>
        <w:r w:rsidR="00BE3BE8">
          <w:rPr>
            <w:noProof/>
          </w:rPr>
          <w:t>5</w:t>
        </w:r>
        <w:r>
          <w:fldChar w:fldCharType="end"/>
        </w:r>
      </w:p>
    </w:sdtContent>
  </w:sdt>
  <w:p w14:paraId="10335642" w14:textId="099A9CAC" w:rsidR="00ED4138" w:rsidRDefault="00ED41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0ECC2" w14:textId="77777777" w:rsidR="00ED4138" w:rsidRDefault="00ED4138" w:rsidP="002A74D1">
      <w:r>
        <w:separator/>
      </w:r>
    </w:p>
  </w:footnote>
  <w:footnote w:type="continuationSeparator" w:id="0">
    <w:p w14:paraId="19078C98" w14:textId="77777777" w:rsidR="00ED4138" w:rsidRDefault="00ED4138" w:rsidP="002A7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43DC"/>
    <w:multiLevelType w:val="hybridMultilevel"/>
    <w:tmpl w:val="DD30279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9AC2B8E"/>
    <w:multiLevelType w:val="hybridMultilevel"/>
    <w:tmpl w:val="1032BFC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8331771"/>
    <w:multiLevelType w:val="hybridMultilevel"/>
    <w:tmpl w:val="4A9A8B86"/>
    <w:lvl w:ilvl="0" w:tplc="08130015">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21167641"/>
    <w:multiLevelType w:val="hybridMultilevel"/>
    <w:tmpl w:val="305C9C18"/>
    <w:lvl w:ilvl="0" w:tplc="66925E2C">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51436E7"/>
    <w:multiLevelType w:val="hybridMultilevel"/>
    <w:tmpl w:val="188E492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3833A24"/>
    <w:multiLevelType w:val="hybridMultilevel"/>
    <w:tmpl w:val="8C0AD458"/>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6" w15:restartNumberingAfterBreak="0">
    <w:nsid w:val="52391467"/>
    <w:multiLevelType w:val="hybridMultilevel"/>
    <w:tmpl w:val="5DAAC1E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EAE0290"/>
    <w:multiLevelType w:val="hybridMultilevel"/>
    <w:tmpl w:val="481E160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07F4300"/>
    <w:multiLevelType w:val="hybridMultilevel"/>
    <w:tmpl w:val="43D6F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59A1FD1"/>
    <w:multiLevelType w:val="multilevel"/>
    <w:tmpl w:val="77C68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6A2B4E58"/>
    <w:multiLevelType w:val="hybridMultilevel"/>
    <w:tmpl w:val="5D2025A4"/>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451B4B"/>
    <w:multiLevelType w:val="hybridMultilevel"/>
    <w:tmpl w:val="C4EE862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B3103A0"/>
    <w:multiLevelType w:val="hybridMultilevel"/>
    <w:tmpl w:val="D944BF4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6DAF1A94"/>
    <w:multiLevelType w:val="hybridMultilevel"/>
    <w:tmpl w:val="C4EE862C"/>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DDB3640"/>
    <w:multiLevelType w:val="hybridMultilevel"/>
    <w:tmpl w:val="B5F05B68"/>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3FF3DD5"/>
    <w:multiLevelType w:val="hybridMultilevel"/>
    <w:tmpl w:val="873A4F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EFF4295"/>
    <w:multiLevelType w:val="hybridMultilevel"/>
    <w:tmpl w:val="B4DC0DB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FC92329"/>
    <w:multiLevelType w:val="hybridMultilevel"/>
    <w:tmpl w:val="16FC1DC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6"/>
  </w:num>
  <w:num w:numId="3">
    <w:abstractNumId w:val="9"/>
  </w:num>
  <w:num w:numId="4">
    <w:abstractNumId w:val="12"/>
  </w:num>
  <w:num w:numId="5">
    <w:abstractNumId w:val="2"/>
  </w:num>
  <w:num w:numId="6">
    <w:abstractNumId w:val="10"/>
  </w:num>
  <w:num w:numId="7">
    <w:abstractNumId w:val="4"/>
  </w:num>
  <w:num w:numId="8">
    <w:abstractNumId w:val="3"/>
  </w:num>
  <w:num w:numId="9">
    <w:abstractNumId w:val="15"/>
  </w:num>
  <w:num w:numId="10">
    <w:abstractNumId w:val="8"/>
  </w:num>
  <w:num w:numId="11">
    <w:abstractNumId w:val="5"/>
  </w:num>
  <w:num w:numId="12">
    <w:abstractNumId w:val="14"/>
  </w:num>
  <w:num w:numId="13">
    <w:abstractNumId w:val="11"/>
  </w:num>
  <w:num w:numId="14">
    <w:abstractNumId w:val="13"/>
  </w:num>
  <w:num w:numId="15">
    <w:abstractNumId w:val="16"/>
  </w:num>
  <w:num w:numId="16">
    <w:abstractNumId w:val="7"/>
  </w:num>
  <w:num w:numId="17">
    <w:abstractNumId w:val="1"/>
  </w:num>
  <w:num w:numId="1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roen Vanden Berghe">
    <w15:presenceInfo w15:providerId="AD" w15:userId="S-1-5-21-4030456262-320625612-449655040-6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82"/>
    <w:rsid w:val="00031D25"/>
    <w:rsid w:val="00044CA1"/>
    <w:rsid w:val="0004530B"/>
    <w:rsid w:val="00050EBD"/>
    <w:rsid w:val="00053B09"/>
    <w:rsid w:val="00060068"/>
    <w:rsid w:val="00075F21"/>
    <w:rsid w:val="00081F6C"/>
    <w:rsid w:val="000904FB"/>
    <w:rsid w:val="000A28C3"/>
    <w:rsid w:val="000A3962"/>
    <w:rsid w:val="000E09A4"/>
    <w:rsid w:val="00102BCB"/>
    <w:rsid w:val="00106715"/>
    <w:rsid w:val="00127BB8"/>
    <w:rsid w:val="0015360D"/>
    <w:rsid w:val="00170669"/>
    <w:rsid w:val="00176132"/>
    <w:rsid w:val="001A3F67"/>
    <w:rsid w:val="001B2F10"/>
    <w:rsid w:val="001D141D"/>
    <w:rsid w:val="001E28B6"/>
    <w:rsid w:val="00211BFC"/>
    <w:rsid w:val="00260B75"/>
    <w:rsid w:val="00282D5E"/>
    <w:rsid w:val="00286B5C"/>
    <w:rsid w:val="00286E2E"/>
    <w:rsid w:val="002A2308"/>
    <w:rsid w:val="002A74D1"/>
    <w:rsid w:val="002B61E4"/>
    <w:rsid w:val="002C0AD7"/>
    <w:rsid w:val="00300DB7"/>
    <w:rsid w:val="00304177"/>
    <w:rsid w:val="00305F60"/>
    <w:rsid w:val="00354819"/>
    <w:rsid w:val="00357566"/>
    <w:rsid w:val="003602D3"/>
    <w:rsid w:val="003604B8"/>
    <w:rsid w:val="003657AE"/>
    <w:rsid w:val="003A047F"/>
    <w:rsid w:val="003E0D5A"/>
    <w:rsid w:val="003E2C3A"/>
    <w:rsid w:val="003E4CCB"/>
    <w:rsid w:val="003F6A2E"/>
    <w:rsid w:val="00414AEE"/>
    <w:rsid w:val="00414D3A"/>
    <w:rsid w:val="0043793E"/>
    <w:rsid w:val="00452D38"/>
    <w:rsid w:val="00457698"/>
    <w:rsid w:val="00474011"/>
    <w:rsid w:val="0047698A"/>
    <w:rsid w:val="004A4AE6"/>
    <w:rsid w:val="004B0B58"/>
    <w:rsid w:val="004C1A26"/>
    <w:rsid w:val="004E7B29"/>
    <w:rsid w:val="005051E6"/>
    <w:rsid w:val="005242A3"/>
    <w:rsid w:val="0054401E"/>
    <w:rsid w:val="00555484"/>
    <w:rsid w:val="0056665C"/>
    <w:rsid w:val="00570EAE"/>
    <w:rsid w:val="00590992"/>
    <w:rsid w:val="00595CD6"/>
    <w:rsid w:val="005A5303"/>
    <w:rsid w:val="005B58A9"/>
    <w:rsid w:val="005B5F41"/>
    <w:rsid w:val="005C2C8A"/>
    <w:rsid w:val="005C5180"/>
    <w:rsid w:val="005D06D8"/>
    <w:rsid w:val="005D43B6"/>
    <w:rsid w:val="005E2E9B"/>
    <w:rsid w:val="00623A29"/>
    <w:rsid w:val="00631247"/>
    <w:rsid w:val="00635F37"/>
    <w:rsid w:val="00672A39"/>
    <w:rsid w:val="0067562A"/>
    <w:rsid w:val="00675C0B"/>
    <w:rsid w:val="00691998"/>
    <w:rsid w:val="006928B2"/>
    <w:rsid w:val="00695B18"/>
    <w:rsid w:val="006972D8"/>
    <w:rsid w:val="006B235A"/>
    <w:rsid w:val="006B237B"/>
    <w:rsid w:val="006B2491"/>
    <w:rsid w:val="006E1661"/>
    <w:rsid w:val="006E3476"/>
    <w:rsid w:val="006F728E"/>
    <w:rsid w:val="00703AA2"/>
    <w:rsid w:val="00740AA3"/>
    <w:rsid w:val="00743857"/>
    <w:rsid w:val="00752306"/>
    <w:rsid w:val="00752A3E"/>
    <w:rsid w:val="00757D32"/>
    <w:rsid w:val="0076464D"/>
    <w:rsid w:val="00772B9E"/>
    <w:rsid w:val="007763A1"/>
    <w:rsid w:val="0079305B"/>
    <w:rsid w:val="007955BA"/>
    <w:rsid w:val="007A3EBD"/>
    <w:rsid w:val="007C3159"/>
    <w:rsid w:val="007D59E1"/>
    <w:rsid w:val="007E0D7E"/>
    <w:rsid w:val="007F1F79"/>
    <w:rsid w:val="007F30EA"/>
    <w:rsid w:val="00812273"/>
    <w:rsid w:val="008450BB"/>
    <w:rsid w:val="008560B5"/>
    <w:rsid w:val="00896545"/>
    <w:rsid w:val="008A2D76"/>
    <w:rsid w:val="008A71E1"/>
    <w:rsid w:val="008B5E50"/>
    <w:rsid w:val="008D24E6"/>
    <w:rsid w:val="008F1E1B"/>
    <w:rsid w:val="008F472A"/>
    <w:rsid w:val="008F6257"/>
    <w:rsid w:val="00916421"/>
    <w:rsid w:val="00921D47"/>
    <w:rsid w:val="00932ABD"/>
    <w:rsid w:val="00935056"/>
    <w:rsid w:val="0094136A"/>
    <w:rsid w:val="009476D1"/>
    <w:rsid w:val="009509C6"/>
    <w:rsid w:val="00993FB0"/>
    <w:rsid w:val="009C4BC3"/>
    <w:rsid w:val="009C72BC"/>
    <w:rsid w:val="009E435F"/>
    <w:rsid w:val="009F26D6"/>
    <w:rsid w:val="00A113DB"/>
    <w:rsid w:val="00A32105"/>
    <w:rsid w:val="00A45B92"/>
    <w:rsid w:val="00A87CBD"/>
    <w:rsid w:val="00A94BFD"/>
    <w:rsid w:val="00A954C7"/>
    <w:rsid w:val="00AC4D4C"/>
    <w:rsid w:val="00AE5BB8"/>
    <w:rsid w:val="00AE71A8"/>
    <w:rsid w:val="00AF453E"/>
    <w:rsid w:val="00B238F0"/>
    <w:rsid w:val="00B34DDA"/>
    <w:rsid w:val="00B44605"/>
    <w:rsid w:val="00B501E2"/>
    <w:rsid w:val="00B54714"/>
    <w:rsid w:val="00B72420"/>
    <w:rsid w:val="00B9169F"/>
    <w:rsid w:val="00B93013"/>
    <w:rsid w:val="00B95FBC"/>
    <w:rsid w:val="00BA3A27"/>
    <w:rsid w:val="00BB3686"/>
    <w:rsid w:val="00BC255D"/>
    <w:rsid w:val="00BC79C5"/>
    <w:rsid w:val="00BE3BE8"/>
    <w:rsid w:val="00BF37AD"/>
    <w:rsid w:val="00C34218"/>
    <w:rsid w:val="00C55708"/>
    <w:rsid w:val="00C61051"/>
    <w:rsid w:val="00C673C1"/>
    <w:rsid w:val="00C81DC2"/>
    <w:rsid w:val="00C95B72"/>
    <w:rsid w:val="00CE0690"/>
    <w:rsid w:val="00CE4668"/>
    <w:rsid w:val="00CE722B"/>
    <w:rsid w:val="00CF22D9"/>
    <w:rsid w:val="00CF7327"/>
    <w:rsid w:val="00D06082"/>
    <w:rsid w:val="00D26792"/>
    <w:rsid w:val="00D31125"/>
    <w:rsid w:val="00D52704"/>
    <w:rsid w:val="00D76260"/>
    <w:rsid w:val="00D861C9"/>
    <w:rsid w:val="00D878DC"/>
    <w:rsid w:val="00DA3B26"/>
    <w:rsid w:val="00DA4ACF"/>
    <w:rsid w:val="00E140B2"/>
    <w:rsid w:val="00E16BB1"/>
    <w:rsid w:val="00E17C81"/>
    <w:rsid w:val="00E62A95"/>
    <w:rsid w:val="00EB5821"/>
    <w:rsid w:val="00EC17E7"/>
    <w:rsid w:val="00EC3DD1"/>
    <w:rsid w:val="00EC47AD"/>
    <w:rsid w:val="00ED4138"/>
    <w:rsid w:val="00EF1D66"/>
    <w:rsid w:val="00F11519"/>
    <w:rsid w:val="00F11BC0"/>
    <w:rsid w:val="00F566CA"/>
    <w:rsid w:val="00F56CFB"/>
    <w:rsid w:val="00F6084E"/>
    <w:rsid w:val="00F65C21"/>
    <w:rsid w:val="00F70A6F"/>
    <w:rsid w:val="00F76FF1"/>
    <w:rsid w:val="00FA16D4"/>
    <w:rsid w:val="00FA5681"/>
    <w:rsid w:val="00FD2996"/>
    <w:rsid w:val="00FD48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A7E380D"/>
  <w15:chartTrackingRefBased/>
  <w15:docId w15:val="{255E6592-2B75-42EC-B653-00EE09A7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6082"/>
    <w:pPr>
      <w:spacing w:after="0"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211BF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031D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A113DB"/>
    <w:pPr>
      <w:keepNext/>
      <w:keepLines/>
      <w:spacing w:before="40"/>
      <w:outlineLvl w:val="2"/>
    </w:pPr>
    <w:rPr>
      <w:rFonts w:asciiTheme="majorHAnsi" w:eastAsiaTheme="majorEastAsia" w:hAnsiTheme="majorHAnsi" w:cstheme="majorBidi"/>
      <w:color w:val="1F4D78" w:themeColor="accent1" w:themeShade="7F"/>
    </w:rPr>
  </w:style>
  <w:style w:type="paragraph" w:styleId="Kop4">
    <w:name w:val="heading 4"/>
    <w:basedOn w:val="Standaard"/>
    <w:next w:val="Standaard"/>
    <w:link w:val="Kop4Char"/>
    <w:uiPriority w:val="9"/>
    <w:unhideWhenUsed/>
    <w:qFormat/>
    <w:rsid w:val="00FD487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D06082"/>
    <w:pPr>
      <w:spacing w:before="100" w:beforeAutospacing="1" w:after="100" w:afterAutospacing="1"/>
    </w:pPr>
    <w:rPr>
      <w:lang w:val="nl-BE" w:eastAsia="nl-BE"/>
    </w:rPr>
  </w:style>
  <w:style w:type="character" w:styleId="Zwaar">
    <w:name w:val="Strong"/>
    <w:basedOn w:val="Standaardalinea-lettertype"/>
    <w:uiPriority w:val="22"/>
    <w:qFormat/>
    <w:rsid w:val="00D878DC"/>
    <w:rPr>
      <w:b/>
      <w:bCs/>
    </w:rPr>
  </w:style>
  <w:style w:type="paragraph" w:styleId="Koptekst">
    <w:name w:val="header"/>
    <w:basedOn w:val="Standaard"/>
    <w:link w:val="KoptekstChar"/>
    <w:uiPriority w:val="99"/>
    <w:unhideWhenUsed/>
    <w:rsid w:val="002A74D1"/>
    <w:pPr>
      <w:tabs>
        <w:tab w:val="center" w:pos="4536"/>
        <w:tab w:val="right" w:pos="9072"/>
      </w:tabs>
    </w:pPr>
  </w:style>
  <w:style w:type="character" w:customStyle="1" w:styleId="KoptekstChar">
    <w:name w:val="Koptekst Char"/>
    <w:basedOn w:val="Standaardalinea-lettertype"/>
    <w:link w:val="Koptekst"/>
    <w:uiPriority w:val="99"/>
    <w:rsid w:val="002A74D1"/>
    <w:rPr>
      <w:rFonts w:ascii="Times New Roman" w:eastAsia="Times New Roman" w:hAnsi="Times New Roman" w:cs="Times New Roman"/>
      <w:sz w:val="24"/>
      <w:szCs w:val="24"/>
      <w:lang w:val="nl-NL" w:eastAsia="nl-NL"/>
    </w:rPr>
  </w:style>
  <w:style w:type="paragraph" w:styleId="Voettekst">
    <w:name w:val="footer"/>
    <w:basedOn w:val="Standaard"/>
    <w:link w:val="VoettekstChar"/>
    <w:uiPriority w:val="99"/>
    <w:unhideWhenUsed/>
    <w:rsid w:val="002A74D1"/>
    <w:pPr>
      <w:tabs>
        <w:tab w:val="center" w:pos="4536"/>
        <w:tab w:val="right" w:pos="9072"/>
      </w:tabs>
    </w:pPr>
  </w:style>
  <w:style w:type="character" w:customStyle="1" w:styleId="VoettekstChar">
    <w:name w:val="Voettekst Char"/>
    <w:basedOn w:val="Standaardalinea-lettertype"/>
    <w:link w:val="Voettekst"/>
    <w:uiPriority w:val="99"/>
    <w:rsid w:val="002A74D1"/>
    <w:rPr>
      <w:rFonts w:ascii="Times New Roman" w:eastAsia="Times New Roman" w:hAnsi="Times New Roman" w:cs="Times New Roman"/>
      <w:sz w:val="24"/>
      <w:szCs w:val="24"/>
      <w:lang w:val="nl-NL" w:eastAsia="nl-NL"/>
    </w:rPr>
  </w:style>
  <w:style w:type="paragraph" w:styleId="Lijstalinea">
    <w:name w:val="List Paragraph"/>
    <w:basedOn w:val="Standaard"/>
    <w:uiPriority w:val="34"/>
    <w:qFormat/>
    <w:rsid w:val="00053B09"/>
    <w:pPr>
      <w:ind w:left="720"/>
      <w:contextualSpacing/>
    </w:pPr>
  </w:style>
  <w:style w:type="character" w:customStyle="1" w:styleId="Kop1Char">
    <w:name w:val="Kop 1 Char"/>
    <w:basedOn w:val="Standaardalinea-lettertype"/>
    <w:link w:val="Kop1"/>
    <w:uiPriority w:val="9"/>
    <w:rsid w:val="00211BFC"/>
    <w:rPr>
      <w:rFonts w:asciiTheme="majorHAnsi" w:eastAsiaTheme="majorEastAsia" w:hAnsiTheme="majorHAnsi" w:cstheme="majorBidi"/>
      <w:color w:val="2E74B5" w:themeColor="accent1" w:themeShade="BF"/>
      <w:sz w:val="32"/>
      <w:szCs w:val="32"/>
      <w:lang w:val="nl-NL" w:eastAsia="nl-NL"/>
    </w:rPr>
  </w:style>
  <w:style w:type="character" w:customStyle="1" w:styleId="Kop2Char">
    <w:name w:val="Kop 2 Char"/>
    <w:basedOn w:val="Standaardalinea-lettertype"/>
    <w:link w:val="Kop2"/>
    <w:uiPriority w:val="9"/>
    <w:rsid w:val="00031D25"/>
    <w:rPr>
      <w:rFonts w:asciiTheme="majorHAnsi" w:eastAsiaTheme="majorEastAsia" w:hAnsiTheme="majorHAnsi" w:cstheme="majorBidi"/>
      <w:color w:val="2E74B5" w:themeColor="accent1" w:themeShade="BF"/>
      <w:sz w:val="26"/>
      <w:szCs w:val="26"/>
      <w:lang w:val="nl-NL" w:eastAsia="nl-NL"/>
    </w:rPr>
  </w:style>
  <w:style w:type="character" w:customStyle="1" w:styleId="Kop3Char">
    <w:name w:val="Kop 3 Char"/>
    <w:basedOn w:val="Standaardalinea-lettertype"/>
    <w:link w:val="Kop3"/>
    <w:uiPriority w:val="9"/>
    <w:rsid w:val="00A113DB"/>
    <w:rPr>
      <w:rFonts w:asciiTheme="majorHAnsi" w:eastAsiaTheme="majorEastAsia" w:hAnsiTheme="majorHAnsi" w:cstheme="majorBidi"/>
      <w:color w:val="1F4D78" w:themeColor="accent1" w:themeShade="7F"/>
      <w:sz w:val="24"/>
      <w:szCs w:val="24"/>
      <w:lang w:val="nl-NL" w:eastAsia="nl-NL"/>
    </w:rPr>
  </w:style>
  <w:style w:type="character" w:styleId="Hyperlink">
    <w:name w:val="Hyperlink"/>
    <w:basedOn w:val="Standaardalinea-lettertype"/>
    <w:uiPriority w:val="99"/>
    <w:unhideWhenUsed/>
    <w:rsid w:val="00E17C81"/>
    <w:rPr>
      <w:color w:val="0563C1" w:themeColor="hyperlink"/>
      <w:u w:val="single"/>
    </w:rPr>
  </w:style>
  <w:style w:type="character" w:styleId="GevolgdeHyperlink">
    <w:name w:val="FollowedHyperlink"/>
    <w:basedOn w:val="Standaardalinea-lettertype"/>
    <w:uiPriority w:val="99"/>
    <w:semiHidden/>
    <w:unhideWhenUsed/>
    <w:rsid w:val="00E17C81"/>
    <w:rPr>
      <w:color w:val="954F72" w:themeColor="followedHyperlink"/>
      <w:u w:val="single"/>
    </w:rPr>
  </w:style>
  <w:style w:type="paragraph" w:styleId="Kopvaninhoudsopgave">
    <w:name w:val="TOC Heading"/>
    <w:basedOn w:val="Kop1"/>
    <w:next w:val="Standaard"/>
    <w:uiPriority w:val="39"/>
    <w:unhideWhenUsed/>
    <w:qFormat/>
    <w:rsid w:val="0015360D"/>
    <w:pPr>
      <w:spacing w:line="259" w:lineRule="auto"/>
      <w:outlineLvl w:val="9"/>
    </w:pPr>
    <w:rPr>
      <w:lang w:val="nl-BE" w:eastAsia="nl-BE"/>
    </w:rPr>
  </w:style>
  <w:style w:type="paragraph" w:styleId="Inhopg1">
    <w:name w:val="toc 1"/>
    <w:basedOn w:val="Standaard"/>
    <w:next w:val="Standaard"/>
    <w:autoRedefine/>
    <w:uiPriority w:val="39"/>
    <w:unhideWhenUsed/>
    <w:rsid w:val="009F26D6"/>
    <w:pPr>
      <w:tabs>
        <w:tab w:val="right" w:leader="dot" w:pos="9062"/>
      </w:tabs>
      <w:spacing w:after="100"/>
    </w:pPr>
    <w:rPr>
      <w:rFonts w:ascii="Calibri" w:eastAsiaTheme="majorEastAsia" w:hAnsi="Calibri"/>
      <w:noProof/>
      <w:sz w:val="32"/>
      <w:szCs w:val="32"/>
    </w:rPr>
  </w:style>
  <w:style w:type="paragraph" w:styleId="Inhopg2">
    <w:name w:val="toc 2"/>
    <w:basedOn w:val="Standaard"/>
    <w:next w:val="Standaard"/>
    <w:autoRedefine/>
    <w:uiPriority w:val="39"/>
    <w:unhideWhenUsed/>
    <w:rsid w:val="009F26D6"/>
    <w:pPr>
      <w:tabs>
        <w:tab w:val="right" w:leader="dot" w:pos="9062"/>
      </w:tabs>
      <w:spacing w:after="100"/>
      <w:ind w:left="240"/>
    </w:pPr>
    <w:rPr>
      <w:rFonts w:asciiTheme="minorHAnsi" w:eastAsiaTheme="majorEastAsia" w:hAnsiTheme="minorHAnsi"/>
      <w:noProof/>
    </w:rPr>
  </w:style>
  <w:style w:type="paragraph" w:styleId="Inhopg3">
    <w:name w:val="toc 3"/>
    <w:basedOn w:val="Standaard"/>
    <w:next w:val="Standaard"/>
    <w:autoRedefine/>
    <w:uiPriority w:val="39"/>
    <w:unhideWhenUsed/>
    <w:rsid w:val="009F26D6"/>
    <w:pPr>
      <w:spacing w:after="100"/>
      <w:ind w:left="480"/>
    </w:pPr>
    <w:rPr>
      <w:rFonts w:ascii="Calibri" w:hAnsi="Calibri"/>
      <w:sz w:val="22"/>
    </w:rPr>
  </w:style>
  <w:style w:type="table" w:styleId="Tabelraster">
    <w:name w:val="Table Grid"/>
    <w:basedOn w:val="Standaardtabel"/>
    <w:uiPriority w:val="59"/>
    <w:rsid w:val="00A94B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FD4879"/>
    <w:rPr>
      <w:rFonts w:asciiTheme="majorHAnsi" w:eastAsiaTheme="majorEastAsia" w:hAnsiTheme="majorHAnsi" w:cstheme="majorBidi"/>
      <w:i/>
      <w:iCs/>
      <w:color w:val="2E74B5" w:themeColor="accent1" w:themeShade="BF"/>
      <w:sz w:val="24"/>
      <w:szCs w:val="24"/>
      <w:lang w:val="nl-NL" w:eastAsia="nl-NL"/>
    </w:rPr>
  </w:style>
  <w:style w:type="character" w:customStyle="1" w:styleId="spellingerror">
    <w:name w:val="spellingerror"/>
    <w:basedOn w:val="Standaardalinea-lettertype"/>
    <w:rsid w:val="00305F60"/>
  </w:style>
  <w:style w:type="character" w:customStyle="1" w:styleId="normaltextrun">
    <w:name w:val="normaltextrun"/>
    <w:basedOn w:val="Standaardalinea-lettertype"/>
    <w:rsid w:val="00305F60"/>
  </w:style>
  <w:style w:type="paragraph" w:customStyle="1" w:styleId="paragraph">
    <w:name w:val="paragraph"/>
    <w:basedOn w:val="Standaard"/>
    <w:rsid w:val="00305F60"/>
    <w:pPr>
      <w:spacing w:before="100" w:beforeAutospacing="1" w:after="100" w:afterAutospacing="1"/>
    </w:pPr>
    <w:rPr>
      <w:lang w:val="nl-BE" w:eastAsia="nl-BE"/>
    </w:rPr>
  </w:style>
  <w:style w:type="character" w:customStyle="1" w:styleId="eop">
    <w:name w:val="eop"/>
    <w:basedOn w:val="Standaardalinea-lettertype"/>
    <w:rsid w:val="00305F60"/>
  </w:style>
  <w:style w:type="paragraph" w:customStyle="1" w:styleId="DecimalAligned">
    <w:name w:val="Decimal Aligned"/>
    <w:basedOn w:val="Standaard"/>
    <w:uiPriority w:val="40"/>
    <w:qFormat/>
    <w:rsid w:val="00F11BC0"/>
    <w:pPr>
      <w:tabs>
        <w:tab w:val="decimal" w:pos="360"/>
      </w:tabs>
      <w:spacing w:after="200" w:line="276" w:lineRule="auto"/>
    </w:pPr>
    <w:rPr>
      <w:rFonts w:asciiTheme="minorHAnsi" w:eastAsiaTheme="minorEastAsia" w:hAnsiTheme="minorHAnsi"/>
      <w:sz w:val="22"/>
      <w:szCs w:val="22"/>
      <w:lang w:val="nl-BE" w:eastAsia="nl-BE"/>
    </w:rPr>
  </w:style>
  <w:style w:type="paragraph" w:styleId="Voetnoottekst">
    <w:name w:val="footnote text"/>
    <w:basedOn w:val="Standaard"/>
    <w:link w:val="VoetnoottekstChar"/>
    <w:uiPriority w:val="99"/>
    <w:unhideWhenUsed/>
    <w:rsid w:val="00F11BC0"/>
    <w:rPr>
      <w:rFonts w:asciiTheme="minorHAnsi" w:eastAsiaTheme="minorEastAsia" w:hAnsiTheme="minorHAnsi"/>
      <w:sz w:val="20"/>
      <w:szCs w:val="20"/>
      <w:lang w:val="nl-BE" w:eastAsia="nl-BE"/>
    </w:rPr>
  </w:style>
  <w:style w:type="character" w:customStyle="1" w:styleId="VoetnoottekstChar">
    <w:name w:val="Voetnoottekst Char"/>
    <w:basedOn w:val="Standaardalinea-lettertype"/>
    <w:link w:val="Voetnoottekst"/>
    <w:uiPriority w:val="99"/>
    <w:rsid w:val="00F11BC0"/>
    <w:rPr>
      <w:rFonts w:eastAsiaTheme="minorEastAsia" w:cs="Times New Roman"/>
      <w:sz w:val="20"/>
      <w:szCs w:val="20"/>
      <w:lang w:eastAsia="nl-BE"/>
    </w:rPr>
  </w:style>
  <w:style w:type="character" w:styleId="Subtielebenadrukking">
    <w:name w:val="Subtle Emphasis"/>
    <w:basedOn w:val="Standaardalinea-lettertype"/>
    <w:uiPriority w:val="19"/>
    <w:qFormat/>
    <w:rsid w:val="00F11BC0"/>
    <w:rPr>
      <w:i/>
      <w:iCs/>
    </w:rPr>
  </w:style>
  <w:style w:type="table" w:styleId="Gemiddeldearcering2-accent5">
    <w:name w:val="Medium Shading 2 Accent 5"/>
    <w:basedOn w:val="Standaardtabel"/>
    <w:uiPriority w:val="64"/>
    <w:rsid w:val="00F11BC0"/>
    <w:pPr>
      <w:spacing w:after="0" w:line="240" w:lineRule="auto"/>
    </w:pPr>
    <w:rPr>
      <w:rFonts w:eastAsiaTheme="minorEastAsia"/>
      <w:lang w:eastAsia="nl-B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chtelijst-accent3">
    <w:name w:val="Light List Accent 3"/>
    <w:basedOn w:val="Standaardtabel"/>
    <w:uiPriority w:val="61"/>
    <w:rsid w:val="00631247"/>
    <w:pPr>
      <w:spacing w:after="0" w:line="240" w:lineRule="auto"/>
    </w:pPr>
    <w:rPr>
      <w:rFonts w:eastAsiaTheme="minorEastAsia"/>
      <w:lang w:eastAsia="nl-B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character" w:styleId="Verwijzingopmerking">
    <w:name w:val="annotation reference"/>
    <w:basedOn w:val="Standaardalinea-lettertype"/>
    <w:uiPriority w:val="99"/>
    <w:semiHidden/>
    <w:unhideWhenUsed/>
    <w:rsid w:val="003657AE"/>
    <w:rPr>
      <w:sz w:val="16"/>
      <w:szCs w:val="16"/>
    </w:rPr>
  </w:style>
  <w:style w:type="paragraph" w:styleId="Tekstopmerking">
    <w:name w:val="annotation text"/>
    <w:basedOn w:val="Standaard"/>
    <w:link w:val="TekstopmerkingChar"/>
    <w:uiPriority w:val="99"/>
    <w:semiHidden/>
    <w:unhideWhenUsed/>
    <w:rsid w:val="003657AE"/>
    <w:rPr>
      <w:sz w:val="20"/>
      <w:szCs w:val="20"/>
    </w:rPr>
  </w:style>
  <w:style w:type="character" w:customStyle="1" w:styleId="TekstopmerkingChar">
    <w:name w:val="Tekst opmerking Char"/>
    <w:basedOn w:val="Standaardalinea-lettertype"/>
    <w:link w:val="Tekstopmerking"/>
    <w:uiPriority w:val="99"/>
    <w:semiHidden/>
    <w:rsid w:val="003657AE"/>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657AE"/>
    <w:rPr>
      <w:b/>
      <w:bCs/>
    </w:rPr>
  </w:style>
  <w:style w:type="character" w:customStyle="1" w:styleId="OnderwerpvanopmerkingChar">
    <w:name w:val="Onderwerp van opmerking Char"/>
    <w:basedOn w:val="TekstopmerkingChar"/>
    <w:link w:val="Onderwerpvanopmerking"/>
    <w:uiPriority w:val="99"/>
    <w:semiHidden/>
    <w:rsid w:val="003657AE"/>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3657A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57AE"/>
    <w:rPr>
      <w:rFonts w:ascii="Segoe UI" w:eastAsia="Times New Roman" w:hAnsi="Segoe UI" w:cs="Segoe UI"/>
      <w:sz w:val="18"/>
      <w:szCs w:val="18"/>
      <w:lang w:val="nl-NL" w:eastAsia="nl-NL"/>
    </w:rPr>
  </w:style>
  <w:style w:type="paragraph" w:customStyle="1" w:styleId="Default">
    <w:name w:val="Default"/>
    <w:rsid w:val="000A3962"/>
    <w:pPr>
      <w:autoSpaceDE w:val="0"/>
      <w:autoSpaceDN w:val="0"/>
      <w:adjustRightInd w:val="0"/>
      <w:spacing w:after="0" w:line="240" w:lineRule="auto"/>
    </w:pPr>
    <w:rPr>
      <w:rFonts w:ascii="Segoe UI Light" w:hAnsi="Segoe UI Light" w:cs="Segoe U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484589">
      <w:bodyDiv w:val="1"/>
      <w:marLeft w:val="0"/>
      <w:marRight w:val="0"/>
      <w:marTop w:val="0"/>
      <w:marBottom w:val="0"/>
      <w:divBdr>
        <w:top w:val="none" w:sz="0" w:space="0" w:color="auto"/>
        <w:left w:val="none" w:sz="0" w:space="0" w:color="auto"/>
        <w:bottom w:val="none" w:sz="0" w:space="0" w:color="auto"/>
        <w:right w:val="none" w:sz="0" w:space="0" w:color="auto"/>
      </w:divBdr>
    </w:div>
    <w:div w:id="121303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FA07E76604564EA29348DB0173B46F" ma:contentTypeVersion="2" ma:contentTypeDescription="Een nieuw document maken." ma:contentTypeScope="" ma:versionID="65e38628cf29fe2049a954529590e82a">
  <xsd:schema xmlns:xsd="http://www.w3.org/2001/XMLSchema" xmlns:xs="http://www.w3.org/2001/XMLSchema" xmlns:p="http://schemas.microsoft.com/office/2006/metadata/properties" xmlns:ns2="ea8290db-6098-47e4-b601-13a688c4c9ad" xmlns:ns3="b5696139-77e6-4da0-8de3-3d1f1c4af65c" targetNamespace="http://schemas.microsoft.com/office/2006/metadata/properties" ma:root="true" ma:fieldsID="46e21b0a69c8debb0e3902525997d436" ns2:_="" ns3:_="">
    <xsd:import namespace="ea8290db-6098-47e4-b601-13a688c4c9ad"/>
    <xsd:import namespace="b5696139-77e6-4da0-8de3-3d1f1c4af65c"/>
    <xsd:element name="properties">
      <xsd:complexType>
        <xsd:sequence>
          <xsd:element name="documentManagement">
            <xsd:complexType>
              <xsd:all>
                <xsd:element ref="ns2:DocType" minOccurs="0"/>
                <xsd:element ref="ns3:Domein" minOccurs="0"/>
                <xsd:element ref="ns3:Subdomei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290db-6098-47e4-b601-13a688c4c9ad" elementFormDefault="qualified">
    <xsd:import namespace="http://schemas.microsoft.com/office/2006/documentManagement/types"/>
    <xsd:import namespace="http://schemas.microsoft.com/office/infopath/2007/PartnerControls"/>
    <xsd:element name="DocType" ma:index="8" nillable="true" ma:displayName="DocType" ma:default="Afspraken" ma:format="Dropdown" ma:internalName="DocType">
      <xsd:simpleType>
        <xsd:restriction base="dms:Choice">
          <xsd:enumeration value="Afspraken"/>
          <xsd:enumeration value="Richtlijnen"/>
          <xsd:enumeration value="Handleiding_oud"/>
          <xsd:enumeration value="Handleiding_nieuw"/>
          <xsd:enumeration value="Info"/>
          <xsd:enumeration value="Standaardmails/brieven"/>
          <xsd:enumeration value="Lijst"/>
          <xsd:enumeration value="Tools"/>
        </xsd:restriction>
      </xsd:simpleType>
    </xsd:element>
  </xsd:schema>
  <xsd:schema xmlns:xsd="http://www.w3.org/2001/XMLSchema" xmlns:xs="http://www.w3.org/2001/XMLSchema" xmlns:dms="http://schemas.microsoft.com/office/2006/documentManagement/types" xmlns:pc="http://schemas.microsoft.com/office/infopath/2007/PartnerControls" targetNamespace="b5696139-77e6-4da0-8de3-3d1f1c4af65c" elementFormDefault="qualified">
    <xsd:import namespace="http://schemas.microsoft.com/office/2006/documentManagement/types"/>
    <xsd:import namespace="http://schemas.microsoft.com/office/infopath/2007/PartnerControls"/>
    <xsd:element name="Domein" ma:index="9" nillable="true" ma:displayName="Domein" ma:default="Algemeen" ma:format="Dropdown" ma:internalName="Domein">
      <xsd:simpleType>
        <xsd:restriction base="dms:Choice">
          <xsd:enumeration value="Algemeen"/>
          <xsd:enumeration value="Aankopen"/>
          <xsd:enumeration value="Verkopen"/>
          <xsd:enumeration value="Rapportering"/>
          <xsd:enumeration value="Kasboek"/>
        </xsd:restriction>
      </xsd:simpleType>
    </xsd:element>
    <xsd:element name="Subdomein" ma:index="10" nillable="true" ma:displayName="Subdomein" ma:default="Aankoopartikels" ma:format="Dropdown" ma:internalName="Subdomein">
      <xsd:simpleType>
        <xsd:restriction base="dms:Choice">
          <xsd:enumeration value="SAP"/>
          <xsd:enumeration value="Aankoopartikels"/>
          <xsd:enumeration value="bestelbon"/>
          <xsd:enumeration value="Elektronische bestellingen"/>
          <xsd:enumeration value="Factuurverwerking"/>
          <xsd:enumeration value="Goederenontvangst"/>
          <xsd:enumeration value="Leveranciers"/>
          <xsd:enumeration value="Overboekingen"/>
          <xsd:enumeration value="weekrapporten"/>
          <xsd:enumeration value="Klanten"/>
          <xsd:enumeration value="Verkooporders"/>
          <xsd:enumeration value="Verkoopcontracten"/>
          <xsd:enumeration value="Verkooporder contract"/>
          <xsd:enumeration value="Verkoopfacturen"/>
          <xsd:enumeration value="Verkoopcreditnota"/>
          <xsd:enumeration value="Terugbetaling aan een klant"/>
          <xsd:enumeration value="Logistieke Rapportering"/>
          <xsd:enumeration value="Budgetrapportering"/>
          <xsd:enumeration value="Budgetrapportering"/>
          <xsd:enumeration value="Opvragen gescande documenten"/>
          <xsd:enumeration value="Bekijken contractinfo"/>
          <xsd:enumeration value="Rapporting opvolging VIM"/>
          <xsd:enumeration value="Loonstaat"/>
          <xsd:enumeration value="Kredietopvolging via VI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mein xmlns="b5696139-77e6-4da0-8de3-3d1f1c4af65c">Verkopen</Domein>
    <Subdomein xmlns="b5696139-77e6-4da0-8de3-3d1f1c4af65c">Klanten</Subdomein>
    <DocType xmlns="ea8290db-6098-47e4-b601-13a688c4c9ad">Handleiding_nieuw</Doc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F9BBB-F839-4902-953F-B75B22D769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8290db-6098-47e4-b601-13a688c4c9ad"/>
    <ds:schemaRef ds:uri="b5696139-77e6-4da0-8de3-3d1f1c4af6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37ED5A-0BC3-4430-840C-E2B7F038843D}">
  <ds:schemaRefs>
    <ds:schemaRef ds:uri="http://schemas.microsoft.com/sharepoint/v3/contenttype/forms"/>
  </ds:schemaRefs>
</ds:datastoreItem>
</file>

<file path=customXml/itemProps3.xml><?xml version="1.0" encoding="utf-8"?>
<ds:datastoreItem xmlns:ds="http://schemas.openxmlformats.org/officeDocument/2006/customXml" ds:itemID="{30C34746-DE24-45E8-8995-63FFF1C4C897}">
  <ds:schemaRefs>
    <ds:schemaRef ds:uri="http://schemas.microsoft.com/office/infopath/2007/PartnerControls"/>
    <ds:schemaRef ds:uri="b5696139-77e6-4da0-8de3-3d1f1c4af65c"/>
    <ds:schemaRef ds:uri="http://www.w3.org/XML/1998/namespace"/>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ea8290db-6098-47e4-b601-13a688c4c9ad"/>
    <ds:schemaRef ds:uri="http://purl.org/dc/dcmitype/"/>
  </ds:schemaRefs>
</ds:datastoreItem>
</file>

<file path=customXml/itemProps4.xml><?xml version="1.0" encoding="utf-8"?>
<ds:datastoreItem xmlns:ds="http://schemas.openxmlformats.org/officeDocument/2006/customXml" ds:itemID="{522F6803-5282-45E3-BAEE-461200DD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10053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Opzoeken en weergeven van een klant</vt:lpstr>
      <vt:lpstr>Opzoeken en weergeven van een klant</vt:lpstr>
    </vt:vector>
  </TitlesOfParts>
  <Company>UGent</Company>
  <LinksUpToDate>false</LinksUpToDate>
  <CharactersWithSpaces>11857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Opzoeken en weergeven van een klant</dc:title>
  <dc:subject/>
  <dc:creator>Autobank UPGRADE 2017</dc:creator>
  <cp:keywords/>
  <dc:description/>
  <cp:lastModifiedBy>Jeroen Vanden Berghe</cp:lastModifiedBy>
  <cp:revision>2</cp:revision>
  <cp:lastPrinted>2017-11-22T12:08:00Z</cp:lastPrinted>
  <dcterms:created xsi:type="dcterms:W3CDTF">2017-11-22T16:32:00Z</dcterms:created>
  <dcterms:modified xsi:type="dcterms:W3CDTF">2017-11-22T16:32:00Z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0x01010099FA07E76604564EA29348DB0173B46F</vt:lpwstr>
  </property>
</Properties>
</file>